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D0939" w14:textId="3FB62933" w:rsidR="00B81306" w:rsidRPr="00B81306" w:rsidRDefault="00B81306" w:rsidP="00B81306">
      <w:pPr>
        <w:pStyle w:val="header1"/>
      </w:pPr>
      <w:r w:rsidRPr="00B81306">
        <w:t>Arts Access Victoria</w:t>
      </w:r>
      <w:r>
        <w:t xml:space="preserve"> </w:t>
      </w:r>
      <w:r w:rsidRPr="00B81306">
        <w:t>Annual Report 2019</w:t>
      </w:r>
    </w:p>
    <w:p w14:paraId="1DD71A85" w14:textId="37BB8875" w:rsidR="00B81306" w:rsidRPr="00B81306" w:rsidRDefault="00B81306" w:rsidP="00B81306">
      <w:pPr>
        <w:pStyle w:val="body"/>
      </w:pPr>
      <w:r>
        <w:t>Published 28/04/2020</w:t>
      </w:r>
    </w:p>
    <w:p w14:paraId="2F81282D" w14:textId="20159B97" w:rsidR="007D2F3B" w:rsidRDefault="007D2F3B" w:rsidP="001C7503">
      <w:pPr>
        <w:ind w:right="992"/>
        <w:rPr>
          <w:rFonts w:cstheme="minorHAnsi"/>
          <w:sz w:val="28"/>
          <w:szCs w:val="28"/>
        </w:rPr>
      </w:pPr>
    </w:p>
    <w:p w14:paraId="77FEA7AD" w14:textId="7F737E0C" w:rsidR="00B81306" w:rsidRDefault="00B81306" w:rsidP="001C7503">
      <w:pPr>
        <w:ind w:right="992"/>
        <w:rPr>
          <w:rFonts w:cstheme="minorHAnsi"/>
          <w:sz w:val="28"/>
          <w:szCs w:val="28"/>
        </w:rPr>
      </w:pPr>
    </w:p>
    <w:p w14:paraId="0CB78946" w14:textId="781A0018" w:rsidR="00B81306" w:rsidRDefault="00B81306" w:rsidP="001C7503">
      <w:pPr>
        <w:ind w:right="992"/>
        <w:rPr>
          <w:rFonts w:cstheme="minorHAnsi"/>
          <w:sz w:val="28"/>
          <w:szCs w:val="28"/>
        </w:rPr>
      </w:pPr>
    </w:p>
    <w:p w14:paraId="1882855E" w14:textId="6243294F" w:rsidR="00B81306" w:rsidRDefault="00B81306" w:rsidP="001C7503">
      <w:pPr>
        <w:ind w:right="992"/>
        <w:rPr>
          <w:rFonts w:cstheme="minorHAnsi"/>
          <w:sz w:val="28"/>
          <w:szCs w:val="28"/>
        </w:rPr>
      </w:pPr>
    </w:p>
    <w:p w14:paraId="4594A473" w14:textId="7275A711" w:rsidR="00B81306" w:rsidRDefault="00B81306" w:rsidP="001C7503">
      <w:pPr>
        <w:ind w:right="992"/>
        <w:rPr>
          <w:rFonts w:cstheme="minorHAnsi"/>
          <w:sz w:val="28"/>
          <w:szCs w:val="28"/>
        </w:rPr>
      </w:pPr>
    </w:p>
    <w:p w14:paraId="26972878" w14:textId="0FF84FA6" w:rsidR="00B81306" w:rsidRDefault="00B81306" w:rsidP="001C7503">
      <w:pPr>
        <w:ind w:right="992"/>
        <w:rPr>
          <w:rFonts w:cstheme="minorHAnsi"/>
          <w:sz w:val="28"/>
          <w:szCs w:val="28"/>
        </w:rPr>
      </w:pPr>
    </w:p>
    <w:p w14:paraId="441454CB" w14:textId="5B05C025" w:rsidR="00B81306" w:rsidRDefault="00B81306" w:rsidP="001C7503">
      <w:pPr>
        <w:ind w:right="992"/>
        <w:rPr>
          <w:rFonts w:cstheme="minorHAnsi"/>
          <w:sz w:val="28"/>
          <w:szCs w:val="28"/>
        </w:rPr>
      </w:pPr>
    </w:p>
    <w:p w14:paraId="296BEED6" w14:textId="77777777" w:rsidR="00B81306" w:rsidRPr="002B757D" w:rsidRDefault="00B81306" w:rsidP="001C7503">
      <w:pPr>
        <w:ind w:right="992"/>
        <w:rPr>
          <w:rFonts w:cstheme="minorHAnsi"/>
          <w:sz w:val="28"/>
          <w:szCs w:val="28"/>
        </w:rPr>
      </w:pPr>
    </w:p>
    <w:p w14:paraId="76459F6D" w14:textId="77777777" w:rsidR="00B81306" w:rsidRDefault="00B81306" w:rsidP="00BB6815">
      <w:pPr>
        <w:ind w:right="992"/>
        <w:rPr>
          <w:rFonts w:cstheme="minorHAnsi"/>
          <w:b/>
          <w:sz w:val="28"/>
          <w:szCs w:val="28"/>
        </w:rPr>
      </w:pPr>
    </w:p>
    <w:p w14:paraId="52CEE017" w14:textId="5015CF6E" w:rsidR="00BB6815" w:rsidRPr="00BB6815" w:rsidRDefault="00BB6815" w:rsidP="6D72FE1E">
      <w:pPr>
        <w:ind w:right="992"/>
        <w:rPr>
          <w:sz w:val="28"/>
          <w:szCs w:val="28"/>
        </w:rPr>
      </w:pPr>
      <w:r w:rsidRPr="6D72FE1E">
        <w:rPr>
          <w:b/>
          <w:bCs/>
          <w:sz w:val="28"/>
          <w:szCs w:val="28"/>
        </w:rPr>
        <w:t>Address:</w:t>
      </w:r>
      <w:r w:rsidR="6BE99DFF" w:rsidRPr="6D72FE1E">
        <w:rPr>
          <w:b/>
          <w:bCs/>
          <w:sz w:val="28"/>
          <w:szCs w:val="28"/>
        </w:rPr>
        <w:t xml:space="preserve"> </w:t>
      </w:r>
      <w:r w:rsidRPr="00BB6815">
        <w:rPr>
          <w:rFonts w:cstheme="minorHAnsi"/>
          <w:b/>
          <w:sz w:val="28"/>
          <w:szCs w:val="28"/>
        </w:rPr>
        <w:tab/>
      </w:r>
      <w:r w:rsidRPr="00BB6815">
        <w:rPr>
          <w:rFonts w:cstheme="minorHAnsi"/>
          <w:b/>
          <w:sz w:val="28"/>
          <w:szCs w:val="28"/>
        </w:rPr>
        <w:tab/>
      </w:r>
      <w:r w:rsidRPr="6D72FE1E">
        <w:rPr>
          <w:sz w:val="28"/>
          <w:szCs w:val="28"/>
        </w:rPr>
        <w:t>222 Bank St. South Melbourne, Victoria 3205</w:t>
      </w:r>
    </w:p>
    <w:p w14:paraId="6577B9D4" w14:textId="6F01E0CA" w:rsidR="00BB6815" w:rsidRPr="00BB6815" w:rsidRDefault="00BB6815" w:rsidP="6D72FE1E">
      <w:pPr>
        <w:ind w:right="992"/>
        <w:rPr>
          <w:sz w:val="28"/>
          <w:szCs w:val="28"/>
        </w:rPr>
      </w:pPr>
      <w:r w:rsidRPr="6D72FE1E">
        <w:rPr>
          <w:b/>
          <w:bCs/>
          <w:sz w:val="28"/>
          <w:szCs w:val="28"/>
        </w:rPr>
        <w:t>Phone:</w:t>
      </w:r>
      <w:r w:rsidR="748567AC" w:rsidRPr="6D72FE1E">
        <w:rPr>
          <w:b/>
          <w:bCs/>
          <w:sz w:val="28"/>
          <w:szCs w:val="28"/>
        </w:rPr>
        <w:t xml:space="preserve"> </w:t>
      </w:r>
      <w:r w:rsidRPr="00BB6815">
        <w:rPr>
          <w:rFonts w:cstheme="minorHAnsi"/>
          <w:b/>
          <w:sz w:val="28"/>
          <w:szCs w:val="28"/>
        </w:rPr>
        <w:tab/>
      </w:r>
      <w:r w:rsidRPr="00BB6815">
        <w:rPr>
          <w:rFonts w:cstheme="minorHAnsi"/>
          <w:b/>
          <w:sz w:val="28"/>
          <w:szCs w:val="28"/>
        </w:rPr>
        <w:tab/>
      </w:r>
      <w:r w:rsidRPr="6D72FE1E">
        <w:rPr>
          <w:sz w:val="28"/>
          <w:szCs w:val="28"/>
        </w:rPr>
        <w:t>(03) 9699 8299</w:t>
      </w:r>
    </w:p>
    <w:p w14:paraId="3D20F44D" w14:textId="0A1A1941" w:rsidR="00BB6815" w:rsidRPr="00BB6815" w:rsidRDefault="00BB6815" w:rsidP="6D72FE1E">
      <w:pPr>
        <w:ind w:right="992"/>
        <w:rPr>
          <w:sz w:val="28"/>
          <w:szCs w:val="28"/>
        </w:rPr>
      </w:pPr>
      <w:r w:rsidRPr="6D72FE1E">
        <w:rPr>
          <w:b/>
          <w:bCs/>
          <w:sz w:val="28"/>
          <w:szCs w:val="28"/>
        </w:rPr>
        <w:t>Email:</w:t>
      </w:r>
      <w:r w:rsidR="72A9CC7B" w:rsidRPr="6D72FE1E">
        <w:rPr>
          <w:b/>
          <w:bCs/>
          <w:sz w:val="28"/>
          <w:szCs w:val="28"/>
        </w:rPr>
        <w:t xml:space="preserve"> </w:t>
      </w:r>
      <w:r w:rsidRPr="00BB6815">
        <w:rPr>
          <w:rFonts w:cstheme="minorHAnsi"/>
          <w:b/>
          <w:sz w:val="28"/>
          <w:szCs w:val="28"/>
        </w:rPr>
        <w:tab/>
      </w:r>
      <w:r w:rsidRPr="00BB6815">
        <w:rPr>
          <w:rFonts w:cstheme="minorHAnsi"/>
          <w:b/>
          <w:sz w:val="28"/>
          <w:szCs w:val="28"/>
        </w:rPr>
        <w:tab/>
      </w:r>
      <w:r w:rsidRPr="00BB6815">
        <w:rPr>
          <w:rFonts w:cstheme="minorHAnsi"/>
          <w:b/>
          <w:sz w:val="28"/>
          <w:szCs w:val="28"/>
        </w:rPr>
        <w:tab/>
      </w:r>
      <w:hyperlink r:id="rId11" w:history="1">
        <w:r w:rsidRPr="6D72FE1E">
          <w:rPr>
            <w:color w:val="0563C1" w:themeColor="hyperlink"/>
            <w:sz w:val="28"/>
            <w:szCs w:val="28"/>
            <w:u w:val="single"/>
          </w:rPr>
          <w:t>info@artsaccess.com.au</w:t>
        </w:r>
      </w:hyperlink>
    </w:p>
    <w:p w14:paraId="3448F23C" w14:textId="77777777" w:rsidR="00BB6815" w:rsidRPr="00BB6815" w:rsidRDefault="00BB6815" w:rsidP="00BB6815">
      <w:pPr>
        <w:ind w:right="992"/>
        <w:rPr>
          <w:rFonts w:cstheme="minorHAnsi"/>
          <w:sz w:val="28"/>
          <w:szCs w:val="28"/>
        </w:rPr>
      </w:pPr>
      <w:r w:rsidRPr="00BB6815">
        <w:rPr>
          <w:rFonts w:cstheme="minorHAnsi"/>
          <w:b/>
          <w:sz w:val="28"/>
          <w:szCs w:val="28"/>
        </w:rPr>
        <w:t>Website:</w:t>
      </w:r>
      <w:r w:rsidRPr="00BB6815">
        <w:rPr>
          <w:rFonts w:cstheme="minorHAnsi"/>
          <w:sz w:val="28"/>
          <w:szCs w:val="28"/>
        </w:rPr>
        <w:t xml:space="preserve"> </w:t>
      </w:r>
      <w:r w:rsidRPr="00BB6815">
        <w:rPr>
          <w:rFonts w:cstheme="minorHAnsi"/>
          <w:sz w:val="28"/>
          <w:szCs w:val="28"/>
        </w:rPr>
        <w:tab/>
      </w:r>
      <w:r w:rsidRPr="00BB6815">
        <w:rPr>
          <w:rFonts w:cstheme="minorHAnsi"/>
          <w:sz w:val="28"/>
          <w:szCs w:val="28"/>
        </w:rPr>
        <w:tab/>
        <w:t>artsaccess.com.au</w:t>
      </w:r>
    </w:p>
    <w:p w14:paraId="6D81AD7A" w14:textId="77777777" w:rsidR="00BB6815" w:rsidRPr="00BB6815" w:rsidRDefault="00BB6815" w:rsidP="00BB6815">
      <w:pPr>
        <w:ind w:right="992"/>
        <w:rPr>
          <w:rFonts w:cstheme="minorHAnsi"/>
          <w:sz w:val="28"/>
          <w:szCs w:val="28"/>
        </w:rPr>
      </w:pPr>
      <w:r w:rsidRPr="00BB6815">
        <w:rPr>
          <w:rFonts w:cstheme="minorHAnsi"/>
          <w:b/>
          <w:sz w:val="28"/>
          <w:szCs w:val="28"/>
        </w:rPr>
        <w:t>Facebook:</w:t>
      </w:r>
      <w:r w:rsidRPr="00BB6815">
        <w:rPr>
          <w:rFonts w:cstheme="minorHAnsi"/>
          <w:sz w:val="28"/>
          <w:szCs w:val="28"/>
        </w:rPr>
        <w:t xml:space="preserve"> </w:t>
      </w:r>
      <w:r w:rsidRPr="00BB6815">
        <w:rPr>
          <w:rFonts w:cstheme="minorHAnsi"/>
          <w:sz w:val="28"/>
          <w:szCs w:val="28"/>
        </w:rPr>
        <w:tab/>
      </w:r>
      <w:r w:rsidRPr="00BB6815">
        <w:rPr>
          <w:rFonts w:cstheme="minorHAnsi"/>
          <w:sz w:val="28"/>
          <w:szCs w:val="28"/>
        </w:rPr>
        <w:tab/>
        <w:t>facebook.com/</w:t>
      </w:r>
      <w:proofErr w:type="spellStart"/>
      <w:r w:rsidRPr="00BB6815">
        <w:rPr>
          <w:rFonts w:cstheme="minorHAnsi"/>
          <w:sz w:val="28"/>
          <w:szCs w:val="28"/>
        </w:rPr>
        <w:t>artsacessvictoria</w:t>
      </w:r>
      <w:proofErr w:type="spellEnd"/>
    </w:p>
    <w:p w14:paraId="22E91EAD" w14:textId="7B1BD1FE" w:rsidR="00BB6815" w:rsidRPr="00BB6815" w:rsidRDefault="00BB6815" w:rsidP="6D72FE1E">
      <w:pPr>
        <w:ind w:right="992"/>
        <w:rPr>
          <w:sz w:val="28"/>
          <w:szCs w:val="28"/>
        </w:rPr>
      </w:pPr>
      <w:r w:rsidRPr="6D72FE1E">
        <w:rPr>
          <w:b/>
          <w:bCs/>
          <w:sz w:val="28"/>
          <w:szCs w:val="28"/>
        </w:rPr>
        <w:t>Twitter:</w:t>
      </w:r>
      <w:r w:rsidR="096DBDC1" w:rsidRPr="6D72FE1E">
        <w:rPr>
          <w:b/>
          <w:bCs/>
          <w:sz w:val="28"/>
          <w:szCs w:val="28"/>
        </w:rPr>
        <w:t xml:space="preserve"> </w:t>
      </w:r>
      <w:r w:rsidRPr="00BB6815">
        <w:rPr>
          <w:rFonts w:cstheme="minorHAnsi"/>
          <w:sz w:val="28"/>
          <w:szCs w:val="28"/>
        </w:rPr>
        <w:tab/>
      </w:r>
      <w:r w:rsidRPr="00BB6815">
        <w:rPr>
          <w:rFonts w:cstheme="minorHAnsi"/>
          <w:sz w:val="28"/>
          <w:szCs w:val="28"/>
        </w:rPr>
        <w:tab/>
      </w:r>
      <w:r w:rsidRPr="6D72FE1E">
        <w:rPr>
          <w:sz w:val="28"/>
          <w:szCs w:val="28"/>
        </w:rPr>
        <w:t>twitter.com/</w:t>
      </w:r>
      <w:proofErr w:type="spellStart"/>
      <w:r w:rsidRPr="6D72FE1E">
        <w:rPr>
          <w:sz w:val="28"/>
          <w:szCs w:val="28"/>
        </w:rPr>
        <w:t>artsaccessvic</w:t>
      </w:r>
      <w:proofErr w:type="spellEnd"/>
    </w:p>
    <w:p w14:paraId="644AA857" w14:textId="0E2017E6" w:rsidR="00BB6815" w:rsidRPr="00BB6815" w:rsidRDefault="00BB6815" w:rsidP="6D72FE1E">
      <w:pPr>
        <w:ind w:right="992"/>
        <w:rPr>
          <w:sz w:val="28"/>
          <w:szCs w:val="28"/>
        </w:rPr>
      </w:pPr>
      <w:r w:rsidRPr="6D72FE1E">
        <w:rPr>
          <w:b/>
          <w:bCs/>
          <w:sz w:val="28"/>
          <w:szCs w:val="28"/>
        </w:rPr>
        <w:t>Instagram:</w:t>
      </w:r>
      <w:r w:rsidR="77A959B7" w:rsidRPr="6D72FE1E">
        <w:rPr>
          <w:b/>
          <w:bCs/>
          <w:sz w:val="28"/>
          <w:szCs w:val="28"/>
        </w:rPr>
        <w:t xml:space="preserve"> </w:t>
      </w:r>
      <w:r w:rsidRPr="00BB6815">
        <w:rPr>
          <w:rFonts w:cstheme="minorHAnsi"/>
          <w:sz w:val="28"/>
          <w:szCs w:val="28"/>
        </w:rPr>
        <w:tab/>
      </w:r>
      <w:r w:rsidRPr="00BB6815">
        <w:rPr>
          <w:rFonts w:cstheme="minorHAnsi"/>
          <w:sz w:val="28"/>
          <w:szCs w:val="28"/>
        </w:rPr>
        <w:tab/>
      </w:r>
      <w:r w:rsidRPr="6D72FE1E">
        <w:rPr>
          <w:sz w:val="28"/>
          <w:szCs w:val="28"/>
        </w:rPr>
        <w:t>Instagram.com/</w:t>
      </w:r>
      <w:proofErr w:type="spellStart"/>
      <w:r w:rsidRPr="6D72FE1E">
        <w:rPr>
          <w:sz w:val="28"/>
          <w:szCs w:val="28"/>
        </w:rPr>
        <w:t>artsaccessvic</w:t>
      </w:r>
      <w:proofErr w:type="spellEnd"/>
    </w:p>
    <w:p w14:paraId="0CF0AD19" w14:textId="2F0846EF" w:rsidR="007818DF" w:rsidRPr="002B757D" w:rsidRDefault="00BB6815" w:rsidP="6D72FE1E">
      <w:pPr>
        <w:ind w:right="992"/>
        <w:rPr>
          <w:sz w:val="28"/>
          <w:szCs w:val="28"/>
        </w:rPr>
      </w:pPr>
      <w:proofErr w:type="spellStart"/>
      <w:r w:rsidRPr="6D72FE1E">
        <w:rPr>
          <w:b/>
          <w:bCs/>
          <w:sz w:val="28"/>
          <w:szCs w:val="28"/>
        </w:rPr>
        <w:t>Youtube</w:t>
      </w:r>
      <w:proofErr w:type="spellEnd"/>
      <w:r w:rsidRPr="6D72FE1E">
        <w:rPr>
          <w:b/>
          <w:bCs/>
          <w:sz w:val="28"/>
          <w:szCs w:val="28"/>
        </w:rPr>
        <w:t>:</w:t>
      </w:r>
      <w:r w:rsidR="754856E9" w:rsidRPr="6D72FE1E">
        <w:rPr>
          <w:b/>
          <w:bCs/>
          <w:sz w:val="28"/>
          <w:szCs w:val="28"/>
        </w:rPr>
        <w:t xml:space="preserve"> </w:t>
      </w:r>
      <w:r w:rsidRPr="00BB6815">
        <w:rPr>
          <w:rFonts w:cstheme="minorHAnsi"/>
          <w:sz w:val="28"/>
          <w:szCs w:val="28"/>
        </w:rPr>
        <w:tab/>
      </w:r>
      <w:r w:rsidRPr="00BB6815">
        <w:rPr>
          <w:rFonts w:cstheme="minorHAnsi"/>
          <w:sz w:val="28"/>
          <w:szCs w:val="28"/>
        </w:rPr>
        <w:tab/>
      </w:r>
      <w:r w:rsidRPr="6D72FE1E">
        <w:rPr>
          <w:sz w:val="28"/>
          <w:szCs w:val="28"/>
        </w:rPr>
        <w:t>youtube.com/</w:t>
      </w:r>
      <w:proofErr w:type="spellStart"/>
      <w:r w:rsidRPr="6D72FE1E">
        <w:rPr>
          <w:sz w:val="28"/>
          <w:szCs w:val="28"/>
        </w:rPr>
        <w:t>artsaccessvictoria</w:t>
      </w:r>
      <w:proofErr w:type="spellEnd"/>
    </w:p>
    <w:p w14:paraId="5A809621" w14:textId="3D171C11" w:rsidR="008D7FF2" w:rsidRPr="008D7FF2" w:rsidRDefault="008D7FF2" w:rsidP="001C7503">
      <w:pPr>
        <w:ind w:right="992"/>
        <w:rPr>
          <w:rFonts w:ascii="Cambria" w:eastAsiaTheme="majorEastAsia" w:hAnsi="Cambria" w:cstheme="minorHAnsi"/>
          <w:b/>
          <w:color w:val="000000" w:themeColor="text1"/>
          <w:sz w:val="56"/>
          <w:szCs w:val="28"/>
        </w:rPr>
      </w:pPr>
      <w:r>
        <w:br w:type="page"/>
      </w:r>
    </w:p>
    <w:p w14:paraId="3BFADBE2" w14:textId="77777777" w:rsidR="007818DF" w:rsidRPr="009E69F0" w:rsidRDefault="007818DF" w:rsidP="009E69F0">
      <w:pPr>
        <w:pStyle w:val="Title"/>
        <w:rPr>
          <w:rStyle w:val="HeadingLARGEserif"/>
          <w:rFonts w:asciiTheme="majorHAnsi" w:hAnsiTheme="majorHAnsi" w:cstheme="majorBidi"/>
          <w:b w:val="0"/>
          <w:bCs w:val="0"/>
          <w:color w:val="auto"/>
          <w:spacing w:val="-10"/>
          <w:sz w:val="56"/>
          <w:szCs w:val="56"/>
        </w:rPr>
      </w:pPr>
      <w:r w:rsidRPr="009E69F0">
        <w:rPr>
          <w:rStyle w:val="HeadingLARGEserif"/>
          <w:rFonts w:asciiTheme="majorHAnsi" w:hAnsiTheme="majorHAnsi" w:cstheme="majorBidi"/>
          <w:b w:val="0"/>
          <w:bCs w:val="0"/>
          <w:color w:val="auto"/>
          <w:spacing w:val="-10"/>
          <w:sz w:val="56"/>
          <w:szCs w:val="56"/>
        </w:rPr>
        <w:lastRenderedPageBreak/>
        <w:t>First Peoples’ acknowledgement</w:t>
      </w:r>
    </w:p>
    <w:p w14:paraId="1AEFBD9D" w14:textId="77777777" w:rsidR="007818DF" w:rsidRPr="002B757D" w:rsidRDefault="007818DF" w:rsidP="001C7503">
      <w:pPr>
        <w:pStyle w:val="BodycopyDustyGrey"/>
        <w:ind w:right="992"/>
        <w:rPr>
          <w:rFonts w:asciiTheme="minorHAnsi" w:hAnsiTheme="minorHAnsi" w:cstheme="minorHAnsi"/>
        </w:rPr>
      </w:pPr>
    </w:p>
    <w:p w14:paraId="7C4591CD" w14:textId="1F5B8C5E" w:rsidR="002B757D" w:rsidRPr="009E69F0" w:rsidRDefault="009E69F0" w:rsidP="009E69F0">
      <w:pPr>
        <w:pStyle w:val="body"/>
        <w:spacing w:line="276" w:lineRule="auto"/>
      </w:pPr>
      <w:r>
        <w:t>We acknowledge the Traditional Owners of the place now called Victoria, and all First Peoples living and working on this land. We celebrate the history and contemporary creativity of the world’s oldest living culture and pay respect to Elders – past, present and future.</w:t>
      </w:r>
      <w:r w:rsidR="007818DF" w:rsidRPr="002B757D">
        <w:br w:type="page"/>
      </w:r>
    </w:p>
    <w:sdt>
      <w:sdtPr>
        <w:rPr>
          <w:rFonts w:asciiTheme="minorHAnsi" w:eastAsiaTheme="minorHAnsi" w:hAnsiTheme="minorHAnsi" w:cstheme="minorHAnsi"/>
          <w:color w:val="auto"/>
          <w:sz w:val="28"/>
          <w:szCs w:val="28"/>
          <w:lang w:val="en-AU"/>
        </w:rPr>
        <w:id w:val="2005004546"/>
        <w:docPartObj>
          <w:docPartGallery w:val="Table of Contents"/>
          <w:docPartUnique/>
        </w:docPartObj>
      </w:sdtPr>
      <w:sdtEndPr>
        <w:rPr>
          <w:rFonts w:eastAsiaTheme="minorEastAsia"/>
          <w:b/>
          <w:bCs/>
          <w:noProof/>
          <w:lang w:val="en-US"/>
        </w:rPr>
      </w:sdtEndPr>
      <w:sdtContent>
        <w:p w14:paraId="3CE6A444" w14:textId="00E4FD4D" w:rsidR="002B757D" w:rsidRPr="00681B8E" w:rsidRDefault="002B757D" w:rsidP="001C7503">
          <w:pPr>
            <w:pStyle w:val="TOCHeading"/>
            <w:ind w:right="992"/>
            <w:rPr>
              <w:rFonts w:asciiTheme="minorHAnsi" w:hAnsiTheme="minorHAnsi" w:cstheme="minorHAnsi"/>
              <w:b/>
              <w:color w:val="auto"/>
              <w:sz w:val="28"/>
              <w:szCs w:val="28"/>
            </w:rPr>
          </w:pPr>
          <w:r w:rsidRPr="00681B8E">
            <w:rPr>
              <w:rFonts w:asciiTheme="minorHAnsi" w:hAnsiTheme="minorHAnsi" w:cstheme="minorHAnsi"/>
              <w:b/>
              <w:color w:val="auto"/>
              <w:sz w:val="36"/>
              <w:szCs w:val="36"/>
            </w:rPr>
            <w:t>Contents</w:t>
          </w:r>
          <w:r w:rsidR="00681B8E">
            <w:rPr>
              <w:rFonts w:asciiTheme="minorHAnsi" w:hAnsiTheme="minorHAnsi" w:cstheme="minorHAnsi"/>
              <w:b/>
              <w:color w:val="auto"/>
              <w:sz w:val="36"/>
              <w:szCs w:val="36"/>
            </w:rPr>
            <w:br/>
          </w:r>
        </w:p>
        <w:p w14:paraId="49F3A183" w14:textId="46B26883" w:rsidR="00B81306" w:rsidRDefault="002B757D">
          <w:pPr>
            <w:pStyle w:val="TOC1"/>
            <w:tabs>
              <w:tab w:val="right" w:leader="dot" w:pos="10196"/>
            </w:tabs>
            <w:rPr>
              <w:rFonts w:cstheme="minorBidi"/>
              <w:noProof/>
              <w:lang w:val="en-AU" w:eastAsia="en-AU"/>
            </w:rPr>
          </w:pPr>
          <w:r w:rsidRPr="002B757D">
            <w:rPr>
              <w:rFonts w:cstheme="minorHAnsi"/>
              <w:sz w:val="28"/>
              <w:szCs w:val="28"/>
            </w:rPr>
            <w:fldChar w:fldCharType="begin"/>
          </w:r>
          <w:r w:rsidRPr="002B757D">
            <w:rPr>
              <w:rFonts w:cstheme="minorHAnsi"/>
              <w:sz w:val="28"/>
              <w:szCs w:val="28"/>
            </w:rPr>
            <w:instrText xml:space="preserve"> TOC \o "1-3" \h \z \u </w:instrText>
          </w:r>
          <w:r w:rsidRPr="002B757D">
            <w:rPr>
              <w:rFonts w:cstheme="minorHAnsi"/>
              <w:sz w:val="28"/>
              <w:szCs w:val="28"/>
            </w:rPr>
            <w:fldChar w:fldCharType="separate"/>
          </w:r>
          <w:hyperlink w:anchor="_Toc38622579" w:history="1">
            <w:r w:rsidR="00B81306" w:rsidRPr="0038303C">
              <w:rPr>
                <w:rStyle w:val="Hyperlink"/>
                <w:noProof/>
              </w:rPr>
              <w:t>2019 0verview</w:t>
            </w:r>
            <w:r w:rsidR="00B81306">
              <w:rPr>
                <w:noProof/>
                <w:webHidden/>
              </w:rPr>
              <w:tab/>
            </w:r>
            <w:r w:rsidR="00B81306">
              <w:rPr>
                <w:noProof/>
                <w:webHidden/>
              </w:rPr>
              <w:fldChar w:fldCharType="begin"/>
            </w:r>
            <w:r w:rsidR="00B81306">
              <w:rPr>
                <w:noProof/>
                <w:webHidden/>
              </w:rPr>
              <w:instrText xml:space="preserve"> PAGEREF _Toc38622579 \h </w:instrText>
            </w:r>
            <w:r w:rsidR="00B81306">
              <w:rPr>
                <w:noProof/>
                <w:webHidden/>
              </w:rPr>
            </w:r>
            <w:r w:rsidR="00B81306">
              <w:rPr>
                <w:noProof/>
                <w:webHidden/>
              </w:rPr>
              <w:fldChar w:fldCharType="separate"/>
            </w:r>
            <w:r w:rsidR="00B81306">
              <w:rPr>
                <w:noProof/>
                <w:webHidden/>
              </w:rPr>
              <w:t>5</w:t>
            </w:r>
            <w:r w:rsidR="00B81306">
              <w:rPr>
                <w:noProof/>
                <w:webHidden/>
              </w:rPr>
              <w:fldChar w:fldCharType="end"/>
            </w:r>
          </w:hyperlink>
        </w:p>
        <w:p w14:paraId="2287F0F0" w14:textId="5E97B530" w:rsidR="00B81306" w:rsidRDefault="001173C3">
          <w:pPr>
            <w:pStyle w:val="TOC2"/>
            <w:tabs>
              <w:tab w:val="right" w:leader="dot" w:pos="10196"/>
            </w:tabs>
            <w:rPr>
              <w:rFonts w:cstheme="minorBidi"/>
              <w:noProof/>
              <w:lang w:val="en-AU" w:eastAsia="en-AU"/>
            </w:rPr>
          </w:pPr>
          <w:hyperlink w:anchor="_Toc38622580" w:history="1">
            <w:r w:rsidR="00B81306" w:rsidRPr="0038303C">
              <w:rPr>
                <w:rStyle w:val="Hyperlink"/>
                <w:noProof/>
              </w:rPr>
              <w:t>AAV exceeded or met all 21 of our KPIs.</w:t>
            </w:r>
            <w:r w:rsidR="00B81306">
              <w:rPr>
                <w:noProof/>
                <w:webHidden/>
              </w:rPr>
              <w:tab/>
            </w:r>
            <w:r w:rsidR="00B81306">
              <w:rPr>
                <w:noProof/>
                <w:webHidden/>
              </w:rPr>
              <w:fldChar w:fldCharType="begin"/>
            </w:r>
            <w:r w:rsidR="00B81306">
              <w:rPr>
                <w:noProof/>
                <w:webHidden/>
              </w:rPr>
              <w:instrText xml:space="preserve"> PAGEREF _Toc38622580 \h </w:instrText>
            </w:r>
            <w:r w:rsidR="00B81306">
              <w:rPr>
                <w:noProof/>
                <w:webHidden/>
              </w:rPr>
            </w:r>
            <w:r w:rsidR="00B81306">
              <w:rPr>
                <w:noProof/>
                <w:webHidden/>
              </w:rPr>
              <w:fldChar w:fldCharType="separate"/>
            </w:r>
            <w:r w:rsidR="00B81306">
              <w:rPr>
                <w:noProof/>
                <w:webHidden/>
              </w:rPr>
              <w:t>5</w:t>
            </w:r>
            <w:r w:rsidR="00B81306">
              <w:rPr>
                <w:noProof/>
                <w:webHidden/>
              </w:rPr>
              <w:fldChar w:fldCharType="end"/>
            </w:r>
          </w:hyperlink>
        </w:p>
        <w:p w14:paraId="5432F291" w14:textId="616A313D" w:rsidR="00B81306" w:rsidRDefault="001173C3">
          <w:pPr>
            <w:pStyle w:val="TOC1"/>
            <w:tabs>
              <w:tab w:val="right" w:leader="dot" w:pos="10196"/>
            </w:tabs>
            <w:rPr>
              <w:rFonts w:cstheme="minorBidi"/>
              <w:noProof/>
              <w:lang w:val="en-AU" w:eastAsia="en-AU"/>
            </w:rPr>
          </w:pPr>
          <w:hyperlink w:anchor="_Toc38622581" w:history="1">
            <w:r w:rsidR="00B81306" w:rsidRPr="0038303C">
              <w:rPr>
                <w:rStyle w:val="Hyperlink"/>
                <w:noProof/>
              </w:rPr>
              <w:t>Reports</w:t>
            </w:r>
            <w:r w:rsidR="00B81306">
              <w:rPr>
                <w:noProof/>
                <w:webHidden/>
              </w:rPr>
              <w:tab/>
            </w:r>
            <w:r w:rsidR="00B81306">
              <w:rPr>
                <w:noProof/>
                <w:webHidden/>
              </w:rPr>
              <w:fldChar w:fldCharType="begin"/>
            </w:r>
            <w:r w:rsidR="00B81306">
              <w:rPr>
                <w:noProof/>
                <w:webHidden/>
              </w:rPr>
              <w:instrText xml:space="preserve"> PAGEREF _Toc38622581 \h </w:instrText>
            </w:r>
            <w:r w:rsidR="00B81306">
              <w:rPr>
                <w:noProof/>
                <w:webHidden/>
              </w:rPr>
            </w:r>
            <w:r w:rsidR="00B81306">
              <w:rPr>
                <w:noProof/>
                <w:webHidden/>
              </w:rPr>
              <w:fldChar w:fldCharType="separate"/>
            </w:r>
            <w:r w:rsidR="00B81306">
              <w:rPr>
                <w:noProof/>
                <w:webHidden/>
              </w:rPr>
              <w:t>6</w:t>
            </w:r>
            <w:r w:rsidR="00B81306">
              <w:rPr>
                <w:noProof/>
                <w:webHidden/>
              </w:rPr>
              <w:fldChar w:fldCharType="end"/>
            </w:r>
          </w:hyperlink>
        </w:p>
        <w:p w14:paraId="4190742D" w14:textId="07BE5F72" w:rsidR="00B81306" w:rsidRDefault="001173C3">
          <w:pPr>
            <w:pStyle w:val="TOC2"/>
            <w:tabs>
              <w:tab w:val="right" w:leader="dot" w:pos="10196"/>
            </w:tabs>
            <w:rPr>
              <w:rFonts w:cstheme="minorBidi"/>
              <w:noProof/>
              <w:lang w:val="en-AU" w:eastAsia="en-AU"/>
            </w:rPr>
          </w:pPr>
          <w:hyperlink w:anchor="_Toc38622582" w:history="1">
            <w:r w:rsidR="00B81306" w:rsidRPr="0038303C">
              <w:rPr>
                <w:rStyle w:val="Hyperlink"/>
                <w:noProof/>
              </w:rPr>
              <w:t>Chairperson’s report</w:t>
            </w:r>
            <w:r w:rsidR="00B81306">
              <w:rPr>
                <w:noProof/>
                <w:webHidden/>
              </w:rPr>
              <w:tab/>
            </w:r>
            <w:r w:rsidR="00B81306">
              <w:rPr>
                <w:noProof/>
                <w:webHidden/>
              </w:rPr>
              <w:fldChar w:fldCharType="begin"/>
            </w:r>
            <w:r w:rsidR="00B81306">
              <w:rPr>
                <w:noProof/>
                <w:webHidden/>
              </w:rPr>
              <w:instrText xml:space="preserve"> PAGEREF _Toc38622582 \h </w:instrText>
            </w:r>
            <w:r w:rsidR="00B81306">
              <w:rPr>
                <w:noProof/>
                <w:webHidden/>
              </w:rPr>
            </w:r>
            <w:r w:rsidR="00B81306">
              <w:rPr>
                <w:noProof/>
                <w:webHidden/>
              </w:rPr>
              <w:fldChar w:fldCharType="separate"/>
            </w:r>
            <w:r w:rsidR="00B81306">
              <w:rPr>
                <w:noProof/>
                <w:webHidden/>
              </w:rPr>
              <w:t>6</w:t>
            </w:r>
            <w:r w:rsidR="00B81306">
              <w:rPr>
                <w:noProof/>
                <w:webHidden/>
              </w:rPr>
              <w:fldChar w:fldCharType="end"/>
            </w:r>
          </w:hyperlink>
        </w:p>
        <w:p w14:paraId="5DC5B178" w14:textId="6EE35197" w:rsidR="00B81306" w:rsidRDefault="001173C3">
          <w:pPr>
            <w:pStyle w:val="TOC2"/>
            <w:tabs>
              <w:tab w:val="right" w:leader="dot" w:pos="10196"/>
            </w:tabs>
            <w:rPr>
              <w:rFonts w:cstheme="minorBidi"/>
              <w:noProof/>
              <w:lang w:val="en-AU" w:eastAsia="en-AU"/>
            </w:rPr>
          </w:pPr>
          <w:hyperlink w:anchor="_Toc38622583" w:history="1">
            <w:r w:rsidR="00B81306" w:rsidRPr="0038303C">
              <w:rPr>
                <w:rStyle w:val="Hyperlink"/>
                <w:noProof/>
              </w:rPr>
              <w:t>Chief Executive Officer’s report</w:t>
            </w:r>
            <w:r w:rsidR="00B81306">
              <w:rPr>
                <w:noProof/>
                <w:webHidden/>
              </w:rPr>
              <w:tab/>
            </w:r>
            <w:r w:rsidR="00B81306">
              <w:rPr>
                <w:noProof/>
                <w:webHidden/>
              </w:rPr>
              <w:fldChar w:fldCharType="begin"/>
            </w:r>
            <w:r w:rsidR="00B81306">
              <w:rPr>
                <w:noProof/>
                <w:webHidden/>
              </w:rPr>
              <w:instrText xml:space="preserve"> PAGEREF _Toc38622583 \h </w:instrText>
            </w:r>
            <w:r w:rsidR="00B81306">
              <w:rPr>
                <w:noProof/>
                <w:webHidden/>
              </w:rPr>
            </w:r>
            <w:r w:rsidR="00B81306">
              <w:rPr>
                <w:noProof/>
                <w:webHidden/>
              </w:rPr>
              <w:fldChar w:fldCharType="separate"/>
            </w:r>
            <w:r w:rsidR="00B81306">
              <w:rPr>
                <w:noProof/>
                <w:webHidden/>
              </w:rPr>
              <w:t>7</w:t>
            </w:r>
            <w:r w:rsidR="00B81306">
              <w:rPr>
                <w:noProof/>
                <w:webHidden/>
              </w:rPr>
              <w:fldChar w:fldCharType="end"/>
            </w:r>
          </w:hyperlink>
        </w:p>
        <w:p w14:paraId="0436419B" w14:textId="5A0E6E5C" w:rsidR="00B81306" w:rsidRDefault="001173C3">
          <w:pPr>
            <w:pStyle w:val="TOC1"/>
            <w:tabs>
              <w:tab w:val="right" w:leader="dot" w:pos="10196"/>
            </w:tabs>
            <w:rPr>
              <w:rFonts w:cstheme="minorBidi"/>
              <w:noProof/>
              <w:lang w:val="en-AU" w:eastAsia="en-AU"/>
            </w:rPr>
          </w:pPr>
          <w:hyperlink w:anchor="_Toc38622584" w:history="1">
            <w:r w:rsidR="00B81306" w:rsidRPr="0038303C">
              <w:rPr>
                <w:rStyle w:val="Hyperlink"/>
                <w:noProof/>
              </w:rPr>
              <w:t>Our Language</w:t>
            </w:r>
            <w:r w:rsidR="00B81306">
              <w:rPr>
                <w:noProof/>
                <w:webHidden/>
              </w:rPr>
              <w:tab/>
            </w:r>
            <w:r w:rsidR="00B81306">
              <w:rPr>
                <w:noProof/>
                <w:webHidden/>
              </w:rPr>
              <w:fldChar w:fldCharType="begin"/>
            </w:r>
            <w:r w:rsidR="00B81306">
              <w:rPr>
                <w:noProof/>
                <w:webHidden/>
              </w:rPr>
              <w:instrText xml:space="preserve"> PAGEREF _Toc38622584 \h </w:instrText>
            </w:r>
            <w:r w:rsidR="00B81306">
              <w:rPr>
                <w:noProof/>
                <w:webHidden/>
              </w:rPr>
            </w:r>
            <w:r w:rsidR="00B81306">
              <w:rPr>
                <w:noProof/>
                <w:webHidden/>
              </w:rPr>
              <w:fldChar w:fldCharType="separate"/>
            </w:r>
            <w:r w:rsidR="00B81306">
              <w:rPr>
                <w:noProof/>
                <w:webHidden/>
              </w:rPr>
              <w:t>8</w:t>
            </w:r>
            <w:r w:rsidR="00B81306">
              <w:rPr>
                <w:noProof/>
                <w:webHidden/>
              </w:rPr>
              <w:fldChar w:fldCharType="end"/>
            </w:r>
          </w:hyperlink>
        </w:p>
        <w:p w14:paraId="307F9833" w14:textId="33BFE669" w:rsidR="00B81306" w:rsidRDefault="001173C3">
          <w:pPr>
            <w:pStyle w:val="TOC2"/>
            <w:tabs>
              <w:tab w:val="right" w:leader="dot" w:pos="10196"/>
            </w:tabs>
            <w:rPr>
              <w:rFonts w:cstheme="minorBidi"/>
              <w:noProof/>
              <w:lang w:val="en-AU" w:eastAsia="en-AU"/>
            </w:rPr>
          </w:pPr>
          <w:hyperlink w:anchor="_Toc38622585" w:history="1">
            <w:r w:rsidR="00B81306" w:rsidRPr="0038303C">
              <w:rPr>
                <w:rStyle w:val="Hyperlink"/>
                <w:noProof/>
              </w:rPr>
              <w:t>Deaf and Disabled people</w:t>
            </w:r>
            <w:r w:rsidR="00B81306">
              <w:rPr>
                <w:noProof/>
                <w:webHidden/>
              </w:rPr>
              <w:tab/>
            </w:r>
            <w:r w:rsidR="00B81306">
              <w:rPr>
                <w:noProof/>
                <w:webHidden/>
              </w:rPr>
              <w:fldChar w:fldCharType="begin"/>
            </w:r>
            <w:r w:rsidR="00B81306">
              <w:rPr>
                <w:noProof/>
                <w:webHidden/>
              </w:rPr>
              <w:instrText xml:space="preserve"> PAGEREF _Toc38622585 \h </w:instrText>
            </w:r>
            <w:r w:rsidR="00B81306">
              <w:rPr>
                <w:noProof/>
                <w:webHidden/>
              </w:rPr>
            </w:r>
            <w:r w:rsidR="00B81306">
              <w:rPr>
                <w:noProof/>
                <w:webHidden/>
              </w:rPr>
              <w:fldChar w:fldCharType="separate"/>
            </w:r>
            <w:r w:rsidR="00B81306">
              <w:rPr>
                <w:noProof/>
                <w:webHidden/>
              </w:rPr>
              <w:t>8</w:t>
            </w:r>
            <w:r w:rsidR="00B81306">
              <w:rPr>
                <w:noProof/>
                <w:webHidden/>
              </w:rPr>
              <w:fldChar w:fldCharType="end"/>
            </w:r>
          </w:hyperlink>
        </w:p>
        <w:p w14:paraId="29FE9B8B" w14:textId="128B8918" w:rsidR="00B81306" w:rsidRDefault="001173C3">
          <w:pPr>
            <w:pStyle w:val="TOC2"/>
            <w:tabs>
              <w:tab w:val="right" w:leader="dot" w:pos="10196"/>
            </w:tabs>
            <w:rPr>
              <w:rFonts w:cstheme="minorBidi"/>
              <w:noProof/>
              <w:lang w:val="en-AU" w:eastAsia="en-AU"/>
            </w:rPr>
          </w:pPr>
          <w:hyperlink w:anchor="_Toc38622586" w:history="1">
            <w:r w:rsidR="00B81306" w:rsidRPr="0038303C">
              <w:rPr>
                <w:rStyle w:val="Hyperlink"/>
                <w:noProof/>
              </w:rPr>
              <w:t>Disability-led</w:t>
            </w:r>
            <w:r w:rsidR="00B81306">
              <w:rPr>
                <w:noProof/>
                <w:webHidden/>
              </w:rPr>
              <w:tab/>
            </w:r>
            <w:r w:rsidR="00B81306">
              <w:rPr>
                <w:noProof/>
                <w:webHidden/>
              </w:rPr>
              <w:fldChar w:fldCharType="begin"/>
            </w:r>
            <w:r w:rsidR="00B81306">
              <w:rPr>
                <w:noProof/>
                <w:webHidden/>
              </w:rPr>
              <w:instrText xml:space="preserve"> PAGEREF _Toc38622586 \h </w:instrText>
            </w:r>
            <w:r w:rsidR="00B81306">
              <w:rPr>
                <w:noProof/>
                <w:webHidden/>
              </w:rPr>
            </w:r>
            <w:r w:rsidR="00B81306">
              <w:rPr>
                <w:noProof/>
                <w:webHidden/>
              </w:rPr>
              <w:fldChar w:fldCharType="separate"/>
            </w:r>
            <w:r w:rsidR="00B81306">
              <w:rPr>
                <w:noProof/>
                <w:webHidden/>
              </w:rPr>
              <w:t>8</w:t>
            </w:r>
            <w:r w:rsidR="00B81306">
              <w:rPr>
                <w:noProof/>
                <w:webHidden/>
              </w:rPr>
              <w:fldChar w:fldCharType="end"/>
            </w:r>
          </w:hyperlink>
        </w:p>
        <w:p w14:paraId="27A1F41F" w14:textId="4AA1FC61" w:rsidR="00B81306" w:rsidRDefault="001173C3">
          <w:pPr>
            <w:pStyle w:val="TOC2"/>
            <w:tabs>
              <w:tab w:val="right" w:leader="dot" w:pos="10196"/>
            </w:tabs>
            <w:rPr>
              <w:rFonts w:cstheme="minorBidi"/>
              <w:noProof/>
              <w:lang w:val="en-AU" w:eastAsia="en-AU"/>
            </w:rPr>
          </w:pPr>
          <w:hyperlink w:anchor="_Toc38622587" w:history="1">
            <w:r w:rsidR="00B81306" w:rsidRPr="0038303C">
              <w:rPr>
                <w:rStyle w:val="Hyperlink"/>
                <w:noProof/>
              </w:rPr>
              <w:t>Social Model of Disabilit</w:t>
            </w:r>
            <w:r w:rsidR="00B81306">
              <w:rPr>
                <w:noProof/>
                <w:webHidden/>
              </w:rPr>
              <w:tab/>
            </w:r>
            <w:r w:rsidR="00B81306">
              <w:rPr>
                <w:noProof/>
                <w:webHidden/>
              </w:rPr>
              <w:fldChar w:fldCharType="begin"/>
            </w:r>
            <w:r w:rsidR="00B81306">
              <w:rPr>
                <w:noProof/>
                <w:webHidden/>
              </w:rPr>
              <w:instrText xml:space="preserve"> PAGEREF _Toc38622587 \h </w:instrText>
            </w:r>
            <w:r w:rsidR="00B81306">
              <w:rPr>
                <w:noProof/>
                <w:webHidden/>
              </w:rPr>
            </w:r>
            <w:r w:rsidR="00B81306">
              <w:rPr>
                <w:noProof/>
                <w:webHidden/>
              </w:rPr>
              <w:fldChar w:fldCharType="separate"/>
            </w:r>
            <w:r w:rsidR="00B81306">
              <w:rPr>
                <w:noProof/>
                <w:webHidden/>
              </w:rPr>
              <w:t>8</w:t>
            </w:r>
            <w:r w:rsidR="00B81306">
              <w:rPr>
                <w:noProof/>
                <w:webHidden/>
              </w:rPr>
              <w:fldChar w:fldCharType="end"/>
            </w:r>
          </w:hyperlink>
        </w:p>
        <w:p w14:paraId="0B1F0DD3" w14:textId="1EB97D91" w:rsidR="00B81306" w:rsidRDefault="001173C3">
          <w:pPr>
            <w:pStyle w:val="TOC1"/>
            <w:tabs>
              <w:tab w:val="right" w:leader="dot" w:pos="10196"/>
            </w:tabs>
            <w:rPr>
              <w:rFonts w:cstheme="minorBidi"/>
              <w:noProof/>
              <w:lang w:val="en-AU" w:eastAsia="en-AU"/>
            </w:rPr>
          </w:pPr>
          <w:hyperlink w:anchor="_Toc38622588" w:history="1">
            <w:r w:rsidR="00B81306" w:rsidRPr="0038303C">
              <w:rPr>
                <w:rStyle w:val="Hyperlink"/>
                <w:noProof/>
              </w:rPr>
              <w:t>About Arts Access Victoria</w:t>
            </w:r>
            <w:r w:rsidR="00B81306">
              <w:rPr>
                <w:noProof/>
                <w:webHidden/>
              </w:rPr>
              <w:tab/>
            </w:r>
            <w:r w:rsidR="00B81306">
              <w:rPr>
                <w:noProof/>
                <w:webHidden/>
              </w:rPr>
              <w:fldChar w:fldCharType="begin"/>
            </w:r>
            <w:r w:rsidR="00B81306">
              <w:rPr>
                <w:noProof/>
                <w:webHidden/>
              </w:rPr>
              <w:instrText xml:space="preserve"> PAGEREF _Toc38622588 \h </w:instrText>
            </w:r>
            <w:r w:rsidR="00B81306">
              <w:rPr>
                <w:noProof/>
                <w:webHidden/>
              </w:rPr>
            </w:r>
            <w:r w:rsidR="00B81306">
              <w:rPr>
                <w:noProof/>
                <w:webHidden/>
              </w:rPr>
              <w:fldChar w:fldCharType="separate"/>
            </w:r>
            <w:r w:rsidR="00B81306">
              <w:rPr>
                <w:noProof/>
                <w:webHidden/>
              </w:rPr>
              <w:t>10</w:t>
            </w:r>
            <w:r w:rsidR="00B81306">
              <w:rPr>
                <w:noProof/>
                <w:webHidden/>
              </w:rPr>
              <w:fldChar w:fldCharType="end"/>
            </w:r>
          </w:hyperlink>
        </w:p>
        <w:p w14:paraId="416212D9" w14:textId="0696B483" w:rsidR="00B81306" w:rsidRDefault="001173C3">
          <w:pPr>
            <w:pStyle w:val="TOC1"/>
            <w:tabs>
              <w:tab w:val="right" w:leader="dot" w:pos="10196"/>
            </w:tabs>
            <w:rPr>
              <w:rFonts w:cstheme="minorBidi"/>
              <w:noProof/>
              <w:lang w:val="en-AU" w:eastAsia="en-AU"/>
            </w:rPr>
          </w:pPr>
          <w:hyperlink w:anchor="_Toc38622589" w:history="1">
            <w:r w:rsidR="00B81306" w:rsidRPr="0038303C">
              <w:rPr>
                <w:rStyle w:val="Hyperlink"/>
                <w:noProof/>
              </w:rPr>
              <w:t>Goal 1</w:t>
            </w:r>
            <w:r w:rsidR="00B81306">
              <w:rPr>
                <w:noProof/>
                <w:webHidden/>
              </w:rPr>
              <w:tab/>
            </w:r>
            <w:r w:rsidR="00B81306">
              <w:rPr>
                <w:noProof/>
                <w:webHidden/>
              </w:rPr>
              <w:fldChar w:fldCharType="begin"/>
            </w:r>
            <w:r w:rsidR="00B81306">
              <w:rPr>
                <w:noProof/>
                <w:webHidden/>
              </w:rPr>
              <w:instrText xml:space="preserve"> PAGEREF _Toc38622589 \h </w:instrText>
            </w:r>
            <w:r w:rsidR="00B81306">
              <w:rPr>
                <w:noProof/>
                <w:webHidden/>
              </w:rPr>
            </w:r>
            <w:r w:rsidR="00B81306">
              <w:rPr>
                <w:noProof/>
                <w:webHidden/>
              </w:rPr>
              <w:fldChar w:fldCharType="separate"/>
            </w:r>
            <w:r w:rsidR="00B81306">
              <w:rPr>
                <w:noProof/>
                <w:webHidden/>
              </w:rPr>
              <w:t>11</w:t>
            </w:r>
            <w:r w:rsidR="00B81306">
              <w:rPr>
                <w:noProof/>
                <w:webHidden/>
              </w:rPr>
              <w:fldChar w:fldCharType="end"/>
            </w:r>
          </w:hyperlink>
        </w:p>
        <w:p w14:paraId="5EFA4185" w14:textId="22207E3D" w:rsidR="00B81306" w:rsidRDefault="001173C3">
          <w:pPr>
            <w:pStyle w:val="TOC2"/>
            <w:tabs>
              <w:tab w:val="right" w:leader="dot" w:pos="10196"/>
            </w:tabs>
            <w:rPr>
              <w:rFonts w:cstheme="minorBidi"/>
              <w:noProof/>
              <w:lang w:val="en-AU" w:eastAsia="en-AU"/>
            </w:rPr>
          </w:pPr>
          <w:hyperlink w:anchor="_Toc38622591" w:history="1">
            <w:r w:rsidR="00B81306" w:rsidRPr="0038303C">
              <w:rPr>
                <w:rStyle w:val="Hyperlink"/>
                <w:noProof/>
              </w:rPr>
              <w:t>Echo Collective</w:t>
            </w:r>
            <w:r w:rsidR="00B81306">
              <w:rPr>
                <w:noProof/>
                <w:webHidden/>
              </w:rPr>
              <w:tab/>
            </w:r>
            <w:r w:rsidR="00B81306">
              <w:rPr>
                <w:noProof/>
                <w:webHidden/>
              </w:rPr>
              <w:fldChar w:fldCharType="begin"/>
            </w:r>
            <w:r w:rsidR="00B81306">
              <w:rPr>
                <w:noProof/>
                <w:webHidden/>
              </w:rPr>
              <w:instrText xml:space="preserve"> PAGEREF _Toc38622591 \h </w:instrText>
            </w:r>
            <w:r w:rsidR="00B81306">
              <w:rPr>
                <w:noProof/>
                <w:webHidden/>
              </w:rPr>
            </w:r>
            <w:r w:rsidR="00B81306">
              <w:rPr>
                <w:noProof/>
                <w:webHidden/>
              </w:rPr>
              <w:fldChar w:fldCharType="separate"/>
            </w:r>
            <w:r w:rsidR="00B81306">
              <w:rPr>
                <w:noProof/>
                <w:webHidden/>
              </w:rPr>
              <w:t>11</w:t>
            </w:r>
            <w:r w:rsidR="00B81306">
              <w:rPr>
                <w:noProof/>
                <w:webHidden/>
              </w:rPr>
              <w:fldChar w:fldCharType="end"/>
            </w:r>
          </w:hyperlink>
        </w:p>
        <w:p w14:paraId="41B08021" w14:textId="0FA9A6FF" w:rsidR="00B81306" w:rsidRDefault="001173C3">
          <w:pPr>
            <w:pStyle w:val="TOC2"/>
            <w:tabs>
              <w:tab w:val="right" w:leader="dot" w:pos="10196"/>
            </w:tabs>
            <w:rPr>
              <w:rFonts w:cstheme="minorBidi"/>
              <w:noProof/>
              <w:lang w:val="en-AU" w:eastAsia="en-AU"/>
            </w:rPr>
          </w:pPr>
          <w:hyperlink w:anchor="_Toc38622592" w:history="1">
            <w:r w:rsidR="00B81306" w:rsidRPr="0038303C">
              <w:rPr>
                <w:rStyle w:val="Hyperlink"/>
                <w:noProof/>
              </w:rPr>
              <w:t>Capturing the City</w:t>
            </w:r>
            <w:r w:rsidR="00B81306">
              <w:rPr>
                <w:noProof/>
                <w:webHidden/>
              </w:rPr>
              <w:tab/>
            </w:r>
            <w:r w:rsidR="00B81306">
              <w:rPr>
                <w:noProof/>
                <w:webHidden/>
              </w:rPr>
              <w:fldChar w:fldCharType="begin"/>
            </w:r>
            <w:r w:rsidR="00B81306">
              <w:rPr>
                <w:noProof/>
                <w:webHidden/>
              </w:rPr>
              <w:instrText xml:space="preserve"> PAGEREF _Toc38622592 \h </w:instrText>
            </w:r>
            <w:r w:rsidR="00B81306">
              <w:rPr>
                <w:noProof/>
                <w:webHidden/>
              </w:rPr>
            </w:r>
            <w:r w:rsidR="00B81306">
              <w:rPr>
                <w:noProof/>
                <w:webHidden/>
              </w:rPr>
              <w:fldChar w:fldCharType="separate"/>
            </w:r>
            <w:r w:rsidR="00B81306">
              <w:rPr>
                <w:noProof/>
                <w:webHidden/>
              </w:rPr>
              <w:t>11</w:t>
            </w:r>
            <w:r w:rsidR="00B81306">
              <w:rPr>
                <w:noProof/>
                <w:webHidden/>
              </w:rPr>
              <w:fldChar w:fldCharType="end"/>
            </w:r>
          </w:hyperlink>
        </w:p>
        <w:p w14:paraId="2B3052A6" w14:textId="37B0071F" w:rsidR="00B81306" w:rsidRDefault="001173C3">
          <w:pPr>
            <w:pStyle w:val="TOC2"/>
            <w:tabs>
              <w:tab w:val="right" w:leader="dot" w:pos="10196"/>
            </w:tabs>
            <w:rPr>
              <w:rFonts w:cstheme="minorBidi"/>
              <w:noProof/>
              <w:lang w:val="en-AU" w:eastAsia="en-AU"/>
            </w:rPr>
          </w:pPr>
          <w:hyperlink w:anchor="_Toc38622593" w:history="1">
            <w:r w:rsidR="00B81306" w:rsidRPr="0038303C">
              <w:rPr>
                <w:rStyle w:val="Hyperlink"/>
                <w:noProof/>
              </w:rPr>
              <w:t>Way Out West</w:t>
            </w:r>
            <w:r w:rsidR="00B81306">
              <w:rPr>
                <w:noProof/>
                <w:webHidden/>
              </w:rPr>
              <w:tab/>
            </w:r>
            <w:r w:rsidR="00B81306">
              <w:rPr>
                <w:noProof/>
                <w:webHidden/>
              </w:rPr>
              <w:fldChar w:fldCharType="begin"/>
            </w:r>
            <w:r w:rsidR="00B81306">
              <w:rPr>
                <w:noProof/>
                <w:webHidden/>
              </w:rPr>
              <w:instrText xml:space="preserve"> PAGEREF _Toc38622593 \h </w:instrText>
            </w:r>
            <w:r w:rsidR="00B81306">
              <w:rPr>
                <w:noProof/>
                <w:webHidden/>
              </w:rPr>
            </w:r>
            <w:r w:rsidR="00B81306">
              <w:rPr>
                <w:noProof/>
                <w:webHidden/>
              </w:rPr>
              <w:fldChar w:fldCharType="separate"/>
            </w:r>
            <w:r w:rsidR="00B81306">
              <w:rPr>
                <w:noProof/>
                <w:webHidden/>
              </w:rPr>
              <w:t>12</w:t>
            </w:r>
            <w:r w:rsidR="00B81306">
              <w:rPr>
                <w:noProof/>
                <w:webHidden/>
              </w:rPr>
              <w:fldChar w:fldCharType="end"/>
            </w:r>
          </w:hyperlink>
        </w:p>
        <w:p w14:paraId="77DF69EA" w14:textId="239C251A" w:rsidR="00B81306" w:rsidRDefault="001173C3">
          <w:pPr>
            <w:pStyle w:val="TOC2"/>
            <w:tabs>
              <w:tab w:val="right" w:leader="dot" w:pos="10196"/>
            </w:tabs>
            <w:rPr>
              <w:rFonts w:cstheme="minorBidi"/>
              <w:noProof/>
              <w:lang w:val="en-AU" w:eastAsia="en-AU"/>
            </w:rPr>
          </w:pPr>
          <w:hyperlink w:anchor="_Toc38622594" w:history="1">
            <w:r w:rsidR="00B81306" w:rsidRPr="0038303C">
              <w:rPr>
                <w:rStyle w:val="Hyperlink"/>
                <w:noProof/>
              </w:rPr>
              <w:t>SRS Studios</w:t>
            </w:r>
            <w:r w:rsidR="00B81306">
              <w:rPr>
                <w:noProof/>
                <w:webHidden/>
              </w:rPr>
              <w:tab/>
            </w:r>
            <w:r w:rsidR="00B81306">
              <w:rPr>
                <w:noProof/>
                <w:webHidden/>
              </w:rPr>
              <w:fldChar w:fldCharType="begin"/>
            </w:r>
            <w:r w:rsidR="00B81306">
              <w:rPr>
                <w:noProof/>
                <w:webHidden/>
              </w:rPr>
              <w:instrText xml:space="preserve"> PAGEREF _Toc38622594 \h </w:instrText>
            </w:r>
            <w:r w:rsidR="00B81306">
              <w:rPr>
                <w:noProof/>
                <w:webHidden/>
              </w:rPr>
            </w:r>
            <w:r w:rsidR="00B81306">
              <w:rPr>
                <w:noProof/>
                <w:webHidden/>
              </w:rPr>
              <w:fldChar w:fldCharType="separate"/>
            </w:r>
            <w:r w:rsidR="00B81306">
              <w:rPr>
                <w:noProof/>
                <w:webHidden/>
              </w:rPr>
              <w:t>13</w:t>
            </w:r>
            <w:r w:rsidR="00B81306">
              <w:rPr>
                <w:noProof/>
                <w:webHidden/>
              </w:rPr>
              <w:fldChar w:fldCharType="end"/>
            </w:r>
          </w:hyperlink>
        </w:p>
        <w:p w14:paraId="50EF3E60" w14:textId="4B348EB5" w:rsidR="00B81306" w:rsidRDefault="001173C3">
          <w:pPr>
            <w:pStyle w:val="TOC1"/>
            <w:tabs>
              <w:tab w:val="right" w:leader="dot" w:pos="10196"/>
            </w:tabs>
            <w:rPr>
              <w:rFonts w:cstheme="minorBidi"/>
              <w:noProof/>
              <w:lang w:val="en-AU" w:eastAsia="en-AU"/>
            </w:rPr>
          </w:pPr>
          <w:hyperlink w:anchor="_Toc38622595" w:history="1">
            <w:r w:rsidR="00B81306" w:rsidRPr="0038303C">
              <w:rPr>
                <w:rStyle w:val="Hyperlink"/>
                <w:noProof/>
              </w:rPr>
              <w:t>Goal 2</w:t>
            </w:r>
            <w:r w:rsidR="00B81306">
              <w:rPr>
                <w:noProof/>
                <w:webHidden/>
              </w:rPr>
              <w:tab/>
            </w:r>
            <w:r w:rsidR="00B81306">
              <w:rPr>
                <w:noProof/>
                <w:webHidden/>
              </w:rPr>
              <w:fldChar w:fldCharType="begin"/>
            </w:r>
            <w:r w:rsidR="00B81306">
              <w:rPr>
                <w:noProof/>
                <w:webHidden/>
              </w:rPr>
              <w:instrText xml:space="preserve"> PAGEREF _Toc38622595 \h </w:instrText>
            </w:r>
            <w:r w:rsidR="00B81306">
              <w:rPr>
                <w:noProof/>
                <w:webHidden/>
              </w:rPr>
            </w:r>
            <w:r w:rsidR="00B81306">
              <w:rPr>
                <w:noProof/>
                <w:webHidden/>
              </w:rPr>
              <w:fldChar w:fldCharType="separate"/>
            </w:r>
            <w:r w:rsidR="00B81306">
              <w:rPr>
                <w:noProof/>
                <w:webHidden/>
              </w:rPr>
              <w:t>14</w:t>
            </w:r>
            <w:r w:rsidR="00B81306">
              <w:rPr>
                <w:noProof/>
                <w:webHidden/>
              </w:rPr>
              <w:fldChar w:fldCharType="end"/>
            </w:r>
          </w:hyperlink>
        </w:p>
        <w:p w14:paraId="70F1115A" w14:textId="507B4DB1" w:rsidR="00B81306" w:rsidRDefault="001173C3">
          <w:pPr>
            <w:pStyle w:val="TOC2"/>
            <w:tabs>
              <w:tab w:val="right" w:leader="dot" w:pos="10196"/>
            </w:tabs>
            <w:rPr>
              <w:rFonts w:cstheme="minorBidi"/>
              <w:noProof/>
              <w:lang w:val="en-AU" w:eastAsia="en-AU"/>
            </w:rPr>
          </w:pPr>
          <w:hyperlink w:anchor="_Toc38622597" w:history="1">
            <w:r w:rsidR="00B81306" w:rsidRPr="0038303C">
              <w:rPr>
                <w:rStyle w:val="Hyperlink"/>
                <w:noProof/>
              </w:rPr>
              <w:t>Mentoring</w:t>
            </w:r>
            <w:r w:rsidR="00B81306">
              <w:rPr>
                <w:noProof/>
                <w:webHidden/>
              </w:rPr>
              <w:tab/>
            </w:r>
            <w:r w:rsidR="00B81306">
              <w:rPr>
                <w:noProof/>
                <w:webHidden/>
              </w:rPr>
              <w:fldChar w:fldCharType="begin"/>
            </w:r>
            <w:r w:rsidR="00B81306">
              <w:rPr>
                <w:noProof/>
                <w:webHidden/>
              </w:rPr>
              <w:instrText xml:space="preserve"> PAGEREF _Toc38622597 \h </w:instrText>
            </w:r>
            <w:r w:rsidR="00B81306">
              <w:rPr>
                <w:noProof/>
                <w:webHidden/>
              </w:rPr>
            </w:r>
            <w:r w:rsidR="00B81306">
              <w:rPr>
                <w:noProof/>
                <w:webHidden/>
              </w:rPr>
              <w:fldChar w:fldCharType="separate"/>
            </w:r>
            <w:r w:rsidR="00B81306">
              <w:rPr>
                <w:noProof/>
                <w:webHidden/>
              </w:rPr>
              <w:t>14</w:t>
            </w:r>
            <w:r w:rsidR="00B81306">
              <w:rPr>
                <w:noProof/>
                <w:webHidden/>
              </w:rPr>
              <w:fldChar w:fldCharType="end"/>
            </w:r>
          </w:hyperlink>
        </w:p>
        <w:p w14:paraId="6B33A0C1" w14:textId="1BD5491A" w:rsidR="00B81306" w:rsidRDefault="001173C3">
          <w:pPr>
            <w:pStyle w:val="TOC2"/>
            <w:tabs>
              <w:tab w:val="right" w:leader="dot" w:pos="10196"/>
            </w:tabs>
            <w:rPr>
              <w:rFonts w:cstheme="minorBidi"/>
              <w:noProof/>
              <w:lang w:val="en-AU" w:eastAsia="en-AU"/>
            </w:rPr>
          </w:pPr>
          <w:hyperlink w:anchor="_Toc38622598" w:history="1">
            <w:r w:rsidR="00B81306" w:rsidRPr="0038303C">
              <w:rPr>
                <w:rStyle w:val="Hyperlink"/>
                <w:noProof/>
              </w:rPr>
              <w:t>Artist in focus</w:t>
            </w:r>
            <w:r w:rsidR="00B81306">
              <w:rPr>
                <w:noProof/>
                <w:webHidden/>
              </w:rPr>
              <w:tab/>
            </w:r>
            <w:r w:rsidR="00B81306">
              <w:rPr>
                <w:noProof/>
                <w:webHidden/>
              </w:rPr>
              <w:fldChar w:fldCharType="begin"/>
            </w:r>
            <w:r w:rsidR="00B81306">
              <w:rPr>
                <w:noProof/>
                <w:webHidden/>
              </w:rPr>
              <w:instrText xml:space="preserve"> PAGEREF _Toc38622598 \h </w:instrText>
            </w:r>
            <w:r w:rsidR="00B81306">
              <w:rPr>
                <w:noProof/>
                <w:webHidden/>
              </w:rPr>
            </w:r>
            <w:r w:rsidR="00B81306">
              <w:rPr>
                <w:noProof/>
                <w:webHidden/>
              </w:rPr>
              <w:fldChar w:fldCharType="separate"/>
            </w:r>
            <w:r w:rsidR="00B81306">
              <w:rPr>
                <w:noProof/>
                <w:webHidden/>
              </w:rPr>
              <w:t>14</w:t>
            </w:r>
            <w:r w:rsidR="00B81306">
              <w:rPr>
                <w:noProof/>
                <w:webHidden/>
              </w:rPr>
              <w:fldChar w:fldCharType="end"/>
            </w:r>
          </w:hyperlink>
        </w:p>
        <w:p w14:paraId="36AAFE15" w14:textId="72846794" w:rsidR="00B81306" w:rsidRDefault="001173C3">
          <w:pPr>
            <w:pStyle w:val="TOC2"/>
            <w:tabs>
              <w:tab w:val="right" w:leader="dot" w:pos="10196"/>
            </w:tabs>
            <w:rPr>
              <w:rFonts w:cstheme="minorBidi"/>
              <w:noProof/>
              <w:lang w:val="en-AU" w:eastAsia="en-AU"/>
            </w:rPr>
          </w:pPr>
          <w:hyperlink w:anchor="_Toc38622599" w:history="1">
            <w:r w:rsidR="00B81306" w:rsidRPr="0038303C">
              <w:rPr>
                <w:rStyle w:val="Hyperlink"/>
                <w:noProof/>
              </w:rPr>
              <w:t>Nexus Youth</w:t>
            </w:r>
            <w:r w:rsidR="00B81306">
              <w:rPr>
                <w:noProof/>
                <w:webHidden/>
              </w:rPr>
              <w:tab/>
            </w:r>
            <w:r w:rsidR="00B81306">
              <w:rPr>
                <w:noProof/>
                <w:webHidden/>
              </w:rPr>
              <w:fldChar w:fldCharType="begin"/>
            </w:r>
            <w:r w:rsidR="00B81306">
              <w:rPr>
                <w:noProof/>
                <w:webHidden/>
              </w:rPr>
              <w:instrText xml:space="preserve"> PAGEREF _Toc38622599 \h </w:instrText>
            </w:r>
            <w:r w:rsidR="00B81306">
              <w:rPr>
                <w:noProof/>
                <w:webHidden/>
              </w:rPr>
            </w:r>
            <w:r w:rsidR="00B81306">
              <w:rPr>
                <w:noProof/>
                <w:webHidden/>
              </w:rPr>
              <w:fldChar w:fldCharType="separate"/>
            </w:r>
            <w:r w:rsidR="00B81306">
              <w:rPr>
                <w:noProof/>
                <w:webHidden/>
              </w:rPr>
              <w:t>15</w:t>
            </w:r>
            <w:r w:rsidR="00B81306">
              <w:rPr>
                <w:noProof/>
                <w:webHidden/>
              </w:rPr>
              <w:fldChar w:fldCharType="end"/>
            </w:r>
          </w:hyperlink>
        </w:p>
        <w:p w14:paraId="58E229BE" w14:textId="6134F3B2" w:rsidR="00B81306" w:rsidRDefault="001173C3">
          <w:pPr>
            <w:pStyle w:val="TOC2"/>
            <w:tabs>
              <w:tab w:val="right" w:leader="dot" w:pos="10196"/>
            </w:tabs>
            <w:rPr>
              <w:rFonts w:cstheme="minorBidi"/>
              <w:noProof/>
              <w:lang w:val="en-AU" w:eastAsia="en-AU"/>
            </w:rPr>
          </w:pPr>
          <w:hyperlink w:anchor="_Toc38622600" w:history="1">
            <w:r w:rsidR="00B81306" w:rsidRPr="0038303C">
              <w:rPr>
                <w:rStyle w:val="Hyperlink"/>
                <w:noProof/>
              </w:rPr>
              <w:t>Curated Exhibitions</w:t>
            </w:r>
            <w:r w:rsidR="00B81306">
              <w:rPr>
                <w:noProof/>
                <w:webHidden/>
              </w:rPr>
              <w:tab/>
            </w:r>
            <w:r w:rsidR="00B81306">
              <w:rPr>
                <w:noProof/>
                <w:webHidden/>
              </w:rPr>
              <w:fldChar w:fldCharType="begin"/>
            </w:r>
            <w:r w:rsidR="00B81306">
              <w:rPr>
                <w:noProof/>
                <w:webHidden/>
              </w:rPr>
              <w:instrText xml:space="preserve"> PAGEREF _Toc38622600 \h </w:instrText>
            </w:r>
            <w:r w:rsidR="00B81306">
              <w:rPr>
                <w:noProof/>
                <w:webHidden/>
              </w:rPr>
            </w:r>
            <w:r w:rsidR="00B81306">
              <w:rPr>
                <w:noProof/>
                <w:webHidden/>
              </w:rPr>
              <w:fldChar w:fldCharType="separate"/>
            </w:r>
            <w:r w:rsidR="00B81306">
              <w:rPr>
                <w:noProof/>
                <w:webHidden/>
              </w:rPr>
              <w:t>15</w:t>
            </w:r>
            <w:r w:rsidR="00B81306">
              <w:rPr>
                <w:noProof/>
                <w:webHidden/>
              </w:rPr>
              <w:fldChar w:fldCharType="end"/>
            </w:r>
          </w:hyperlink>
        </w:p>
        <w:p w14:paraId="77684E1D" w14:textId="0216871A" w:rsidR="00B81306" w:rsidRDefault="001173C3">
          <w:pPr>
            <w:pStyle w:val="TOC1"/>
            <w:tabs>
              <w:tab w:val="right" w:leader="dot" w:pos="10196"/>
            </w:tabs>
            <w:rPr>
              <w:rFonts w:cstheme="minorBidi"/>
              <w:noProof/>
              <w:lang w:val="en-AU" w:eastAsia="en-AU"/>
            </w:rPr>
          </w:pPr>
          <w:hyperlink w:anchor="_Toc38622601" w:history="1">
            <w:r w:rsidR="00B81306" w:rsidRPr="0038303C">
              <w:rPr>
                <w:rStyle w:val="Hyperlink"/>
                <w:noProof/>
              </w:rPr>
              <w:t>Goal 3</w:t>
            </w:r>
            <w:r w:rsidR="00B81306">
              <w:rPr>
                <w:noProof/>
                <w:webHidden/>
              </w:rPr>
              <w:tab/>
            </w:r>
            <w:r w:rsidR="00B81306">
              <w:rPr>
                <w:noProof/>
                <w:webHidden/>
              </w:rPr>
              <w:fldChar w:fldCharType="begin"/>
            </w:r>
            <w:r w:rsidR="00B81306">
              <w:rPr>
                <w:noProof/>
                <w:webHidden/>
              </w:rPr>
              <w:instrText xml:space="preserve"> PAGEREF _Toc38622601 \h </w:instrText>
            </w:r>
            <w:r w:rsidR="00B81306">
              <w:rPr>
                <w:noProof/>
                <w:webHidden/>
              </w:rPr>
            </w:r>
            <w:r w:rsidR="00B81306">
              <w:rPr>
                <w:noProof/>
                <w:webHidden/>
              </w:rPr>
              <w:fldChar w:fldCharType="separate"/>
            </w:r>
            <w:r w:rsidR="00B81306">
              <w:rPr>
                <w:noProof/>
                <w:webHidden/>
              </w:rPr>
              <w:t>17</w:t>
            </w:r>
            <w:r w:rsidR="00B81306">
              <w:rPr>
                <w:noProof/>
                <w:webHidden/>
              </w:rPr>
              <w:fldChar w:fldCharType="end"/>
            </w:r>
          </w:hyperlink>
        </w:p>
        <w:p w14:paraId="767A6BFE" w14:textId="1DDAAB14" w:rsidR="00B81306" w:rsidRDefault="001173C3">
          <w:pPr>
            <w:pStyle w:val="TOC2"/>
            <w:tabs>
              <w:tab w:val="right" w:leader="dot" w:pos="10196"/>
            </w:tabs>
            <w:rPr>
              <w:rFonts w:cstheme="minorBidi"/>
              <w:noProof/>
              <w:lang w:val="en-AU" w:eastAsia="en-AU"/>
            </w:rPr>
          </w:pPr>
          <w:hyperlink w:anchor="_Toc38622603" w:history="1">
            <w:r w:rsidR="00B81306" w:rsidRPr="0038303C">
              <w:rPr>
                <w:rStyle w:val="Hyperlink"/>
                <w:noProof/>
              </w:rPr>
              <w:t>Arts and Cultural Sector Development</w:t>
            </w:r>
            <w:r w:rsidR="00B81306">
              <w:rPr>
                <w:noProof/>
                <w:webHidden/>
              </w:rPr>
              <w:tab/>
            </w:r>
            <w:r w:rsidR="00B81306">
              <w:rPr>
                <w:noProof/>
                <w:webHidden/>
              </w:rPr>
              <w:fldChar w:fldCharType="begin"/>
            </w:r>
            <w:r w:rsidR="00B81306">
              <w:rPr>
                <w:noProof/>
                <w:webHidden/>
              </w:rPr>
              <w:instrText xml:space="preserve"> PAGEREF _Toc38622603 \h </w:instrText>
            </w:r>
            <w:r w:rsidR="00B81306">
              <w:rPr>
                <w:noProof/>
                <w:webHidden/>
              </w:rPr>
            </w:r>
            <w:r w:rsidR="00B81306">
              <w:rPr>
                <w:noProof/>
                <w:webHidden/>
              </w:rPr>
              <w:fldChar w:fldCharType="separate"/>
            </w:r>
            <w:r w:rsidR="00B81306">
              <w:rPr>
                <w:noProof/>
                <w:webHidden/>
              </w:rPr>
              <w:t>17</w:t>
            </w:r>
            <w:r w:rsidR="00B81306">
              <w:rPr>
                <w:noProof/>
                <w:webHidden/>
              </w:rPr>
              <w:fldChar w:fldCharType="end"/>
            </w:r>
          </w:hyperlink>
        </w:p>
        <w:p w14:paraId="518DE715" w14:textId="04265F06" w:rsidR="00B81306" w:rsidRDefault="001173C3">
          <w:pPr>
            <w:pStyle w:val="TOC2"/>
            <w:tabs>
              <w:tab w:val="right" w:leader="dot" w:pos="10196"/>
            </w:tabs>
            <w:rPr>
              <w:rFonts w:cstheme="minorBidi"/>
              <w:noProof/>
              <w:lang w:val="en-AU" w:eastAsia="en-AU"/>
            </w:rPr>
          </w:pPr>
          <w:hyperlink w:anchor="_Toc38622604" w:history="1">
            <w:r w:rsidR="00B81306" w:rsidRPr="0038303C">
              <w:rPr>
                <w:rStyle w:val="Hyperlink"/>
                <w:noProof/>
              </w:rPr>
              <w:t>National Gallery of Victoria</w:t>
            </w:r>
            <w:r w:rsidR="00B81306">
              <w:rPr>
                <w:noProof/>
                <w:webHidden/>
              </w:rPr>
              <w:tab/>
            </w:r>
            <w:r w:rsidR="00B81306">
              <w:rPr>
                <w:noProof/>
                <w:webHidden/>
              </w:rPr>
              <w:fldChar w:fldCharType="begin"/>
            </w:r>
            <w:r w:rsidR="00B81306">
              <w:rPr>
                <w:noProof/>
                <w:webHidden/>
              </w:rPr>
              <w:instrText xml:space="preserve"> PAGEREF _Toc38622604 \h </w:instrText>
            </w:r>
            <w:r w:rsidR="00B81306">
              <w:rPr>
                <w:noProof/>
                <w:webHidden/>
              </w:rPr>
            </w:r>
            <w:r w:rsidR="00B81306">
              <w:rPr>
                <w:noProof/>
                <w:webHidden/>
              </w:rPr>
              <w:fldChar w:fldCharType="separate"/>
            </w:r>
            <w:r w:rsidR="00B81306">
              <w:rPr>
                <w:noProof/>
                <w:webHidden/>
              </w:rPr>
              <w:t>17</w:t>
            </w:r>
            <w:r w:rsidR="00B81306">
              <w:rPr>
                <w:noProof/>
                <w:webHidden/>
              </w:rPr>
              <w:fldChar w:fldCharType="end"/>
            </w:r>
          </w:hyperlink>
        </w:p>
        <w:p w14:paraId="4BE6FB8D" w14:textId="77FF48FC" w:rsidR="00B81306" w:rsidRDefault="001173C3">
          <w:pPr>
            <w:pStyle w:val="TOC2"/>
            <w:tabs>
              <w:tab w:val="right" w:leader="dot" w:pos="10196"/>
            </w:tabs>
            <w:rPr>
              <w:rFonts w:cstheme="minorBidi"/>
              <w:noProof/>
              <w:lang w:val="en-AU" w:eastAsia="en-AU"/>
            </w:rPr>
          </w:pPr>
          <w:hyperlink w:anchor="_Toc38622605" w:history="1">
            <w:r w:rsidR="00B81306" w:rsidRPr="0038303C">
              <w:rPr>
                <w:rStyle w:val="Hyperlink"/>
                <w:noProof/>
              </w:rPr>
              <w:t>Choose Art – Australia’s Accessible Arts Directory</w:t>
            </w:r>
            <w:r w:rsidR="00B81306">
              <w:rPr>
                <w:noProof/>
                <w:webHidden/>
              </w:rPr>
              <w:tab/>
            </w:r>
            <w:r w:rsidR="00B81306">
              <w:rPr>
                <w:noProof/>
                <w:webHidden/>
              </w:rPr>
              <w:fldChar w:fldCharType="begin"/>
            </w:r>
            <w:r w:rsidR="00B81306">
              <w:rPr>
                <w:noProof/>
                <w:webHidden/>
              </w:rPr>
              <w:instrText xml:space="preserve"> PAGEREF _Toc38622605 \h </w:instrText>
            </w:r>
            <w:r w:rsidR="00B81306">
              <w:rPr>
                <w:noProof/>
                <w:webHidden/>
              </w:rPr>
            </w:r>
            <w:r w:rsidR="00B81306">
              <w:rPr>
                <w:noProof/>
                <w:webHidden/>
              </w:rPr>
              <w:fldChar w:fldCharType="separate"/>
            </w:r>
            <w:r w:rsidR="00B81306">
              <w:rPr>
                <w:noProof/>
                <w:webHidden/>
              </w:rPr>
              <w:t>18</w:t>
            </w:r>
            <w:r w:rsidR="00B81306">
              <w:rPr>
                <w:noProof/>
                <w:webHidden/>
              </w:rPr>
              <w:fldChar w:fldCharType="end"/>
            </w:r>
          </w:hyperlink>
        </w:p>
        <w:p w14:paraId="774D31C7" w14:textId="0B277E49" w:rsidR="00B81306" w:rsidRDefault="001173C3">
          <w:pPr>
            <w:pStyle w:val="TOC2"/>
            <w:tabs>
              <w:tab w:val="right" w:leader="dot" w:pos="10196"/>
            </w:tabs>
            <w:rPr>
              <w:rFonts w:cstheme="minorBidi"/>
              <w:noProof/>
              <w:lang w:val="en-AU" w:eastAsia="en-AU"/>
            </w:rPr>
          </w:pPr>
          <w:hyperlink w:anchor="_Toc38622606" w:history="1">
            <w:r w:rsidR="00B81306" w:rsidRPr="0038303C">
              <w:rPr>
                <w:rStyle w:val="Hyperlink"/>
                <w:noProof/>
              </w:rPr>
              <w:t>Research</w:t>
            </w:r>
            <w:r w:rsidR="00B81306">
              <w:rPr>
                <w:noProof/>
                <w:webHidden/>
              </w:rPr>
              <w:tab/>
            </w:r>
            <w:r w:rsidR="00B81306">
              <w:rPr>
                <w:noProof/>
                <w:webHidden/>
              </w:rPr>
              <w:fldChar w:fldCharType="begin"/>
            </w:r>
            <w:r w:rsidR="00B81306">
              <w:rPr>
                <w:noProof/>
                <w:webHidden/>
              </w:rPr>
              <w:instrText xml:space="preserve"> PAGEREF _Toc38622606 \h </w:instrText>
            </w:r>
            <w:r w:rsidR="00B81306">
              <w:rPr>
                <w:noProof/>
                <w:webHidden/>
              </w:rPr>
            </w:r>
            <w:r w:rsidR="00B81306">
              <w:rPr>
                <w:noProof/>
                <w:webHidden/>
              </w:rPr>
              <w:fldChar w:fldCharType="separate"/>
            </w:r>
            <w:r w:rsidR="00B81306">
              <w:rPr>
                <w:noProof/>
                <w:webHidden/>
              </w:rPr>
              <w:t>19</w:t>
            </w:r>
            <w:r w:rsidR="00B81306">
              <w:rPr>
                <w:noProof/>
                <w:webHidden/>
              </w:rPr>
              <w:fldChar w:fldCharType="end"/>
            </w:r>
          </w:hyperlink>
        </w:p>
        <w:p w14:paraId="677B8C29" w14:textId="38595D2F" w:rsidR="00B81306" w:rsidRDefault="001173C3">
          <w:pPr>
            <w:pStyle w:val="TOC2"/>
            <w:tabs>
              <w:tab w:val="right" w:leader="dot" w:pos="10196"/>
            </w:tabs>
            <w:rPr>
              <w:rFonts w:cstheme="minorBidi"/>
              <w:noProof/>
              <w:lang w:val="en-AU" w:eastAsia="en-AU"/>
            </w:rPr>
          </w:pPr>
          <w:hyperlink w:anchor="_Toc38622607" w:history="1">
            <w:r w:rsidR="00B81306" w:rsidRPr="0038303C">
              <w:rPr>
                <w:rStyle w:val="Hyperlink"/>
                <w:noProof/>
              </w:rPr>
              <w:t>The Other Film Festival – Reimagined</w:t>
            </w:r>
            <w:r w:rsidR="00B81306">
              <w:rPr>
                <w:noProof/>
                <w:webHidden/>
              </w:rPr>
              <w:tab/>
            </w:r>
            <w:r w:rsidR="00B81306">
              <w:rPr>
                <w:noProof/>
                <w:webHidden/>
              </w:rPr>
              <w:fldChar w:fldCharType="begin"/>
            </w:r>
            <w:r w:rsidR="00B81306">
              <w:rPr>
                <w:noProof/>
                <w:webHidden/>
              </w:rPr>
              <w:instrText xml:space="preserve"> PAGEREF _Toc38622607 \h </w:instrText>
            </w:r>
            <w:r w:rsidR="00B81306">
              <w:rPr>
                <w:noProof/>
                <w:webHidden/>
              </w:rPr>
            </w:r>
            <w:r w:rsidR="00B81306">
              <w:rPr>
                <w:noProof/>
                <w:webHidden/>
              </w:rPr>
              <w:fldChar w:fldCharType="separate"/>
            </w:r>
            <w:r w:rsidR="00B81306">
              <w:rPr>
                <w:noProof/>
                <w:webHidden/>
              </w:rPr>
              <w:t>20</w:t>
            </w:r>
            <w:r w:rsidR="00B81306">
              <w:rPr>
                <w:noProof/>
                <w:webHidden/>
              </w:rPr>
              <w:fldChar w:fldCharType="end"/>
            </w:r>
          </w:hyperlink>
        </w:p>
        <w:p w14:paraId="09BCFE41" w14:textId="45B8710B" w:rsidR="00B81306" w:rsidRDefault="001173C3">
          <w:pPr>
            <w:pStyle w:val="TOC2"/>
            <w:tabs>
              <w:tab w:val="right" w:leader="dot" w:pos="10196"/>
            </w:tabs>
            <w:rPr>
              <w:rFonts w:cstheme="minorBidi"/>
              <w:noProof/>
              <w:lang w:val="en-AU" w:eastAsia="en-AU"/>
            </w:rPr>
          </w:pPr>
          <w:hyperlink w:anchor="_Toc38622608" w:history="1">
            <w:r w:rsidR="00B81306" w:rsidRPr="0038303C">
              <w:rPr>
                <w:rStyle w:val="Hyperlink"/>
                <w:noProof/>
              </w:rPr>
              <w:t>Regional Arts Development Project</w:t>
            </w:r>
            <w:r w:rsidR="00B81306">
              <w:rPr>
                <w:noProof/>
                <w:webHidden/>
              </w:rPr>
              <w:tab/>
            </w:r>
            <w:r w:rsidR="00B81306">
              <w:rPr>
                <w:noProof/>
                <w:webHidden/>
              </w:rPr>
              <w:fldChar w:fldCharType="begin"/>
            </w:r>
            <w:r w:rsidR="00B81306">
              <w:rPr>
                <w:noProof/>
                <w:webHidden/>
              </w:rPr>
              <w:instrText xml:space="preserve"> PAGEREF _Toc38622608 \h </w:instrText>
            </w:r>
            <w:r w:rsidR="00B81306">
              <w:rPr>
                <w:noProof/>
                <w:webHidden/>
              </w:rPr>
            </w:r>
            <w:r w:rsidR="00B81306">
              <w:rPr>
                <w:noProof/>
                <w:webHidden/>
              </w:rPr>
              <w:fldChar w:fldCharType="separate"/>
            </w:r>
            <w:r w:rsidR="00B81306">
              <w:rPr>
                <w:noProof/>
                <w:webHidden/>
              </w:rPr>
              <w:t>20</w:t>
            </w:r>
            <w:r w:rsidR="00B81306">
              <w:rPr>
                <w:noProof/>
                <w:webHidden/>
              </w:rPr>
              <w:fldChar w:fldCharType="end"/>
            </w:r>
          </w:hyperlink>
        </w:p>
        <w:p w14:paraId="3272B2AB" w14:textId="58A8D592" w:rsidR="00B81306" w:rsidRDefault="001173C3">
          <w:pPr>
            <w:pStyle w:val="TOC1"/>
            <w:tabs>
              <w:tab w:val="right" w:leader="dot" w:pos="10196"/>
            </w:tabs>
            <w:rPr>
              <w:rFonts w:cstheme="minorBidi"/>
              <w:noProof/>
              <w:lang w:val="en-AU" w:eastAsia="en-AU"/>
            </w:rPr>
          </w:pPr>
          <w:hyperlink w:anchor="_Toc38622609" w:history="1">
            <w:r w:rsidR="00B81306" w:rsidRPr="0038303C">
              <w:rPr>
                <w:rStyle w:val="Hyperlink"/>
                <w:noProof/>
              </w:rPr>
              <w:t>And the winners are ...</w:t>
            </w:r>
            <w:r w:rsidR="00B81306">
              <w:rPr>
                <w:noProof/>
                <w:webHidden/>
              </w:rPr>
              <w:tab/>
            </w:r>
            <w:r w:rsidR="00B81306">
              <w:rPr>
                <w:noProof/>
                <w:webHidden/>
              </w:rPr>
              <w:fldChar w:fldCharType="begin"/>
            </w:r>
            <w:r w:rsidR="00B81306">
              <w:rPr>
                <w:noProof/>
                <w:webHidden/>
              </w:rPr>
              <w:instrText xml:space="preserve"> PAGEREF _Toc38622609 \h </w:instrText>
            </w:r>
            <w:r w:rsidR="00B81306">
              <w:rPr>
                <w:noProof/>
                <w:webHidden/>
              </w:rPr>
            </w:r>
            <w:r w:rsidR="00B81306">
              <w:rPr>
                <w:noProof/>
                <w:webHidden/>
              </w:rPr>
              <w:fldChar w:fldCharType="separate"/>
            </w:r>
            <w:r w:rsidR="00B81306">
              <w:rPr>
                <w:noProof/>
                <w:webHidden/>
              </w:rPr>
              <w:t>22</w:t>
            </w:r>
            <w:r w:rsidR="00B81306">
              <w:rPr>
                <w:noProof/>
                <w:webHidden/>
              </w:rPr>
              <w:fldChar w:fldCharType="end"/>
            </w:r>
          </w:hyperlink>
        </w:p>
        <w:p w14:paraId="753D26A8" w14:textId="02D96FC3" w:rsidR="00B81306" w:rsidRDefault="001173C3">
          <w:pPr>
            <w:pStyle w:val="TOC2"/>
            <w:tabs>
              <w:tab w:val="right" w:leader="dot" w:pos="10196"/>
            </w:tabs>
            <w:rPr>
              <w:rFonts w:cstheme="minorBidi"/>
              <w:noProof/>
              <w:lang w:val="en-AU" w:eastAsia="en-AU"/>
            </w:rPr>
          </w:pPr>
          <w:hyperlink w:anchor="_Toc38622610" w:history="1">
            <w:r w:rsidR="00B81306" w:rsidRPr="0038303C">
              <w:rPr>
                <w:rStyle w:val="Hyperlink"/>
                <w:noProof/>
              </w:rPr>
              <w:t>2019 Stella Young Award</w:t>
            </w:r>
            <w:r w:rsidR="00B81306">
              <w:rPr>
                <w:noProof/>
                <w:webHidden/>
              </w:rPr>
              <w:tab/>
            </w:r>
            <w:r w:rsidR="00B81306">
              <w:rPr>
                <w:noProof/>
                <w:webHidden/>
              </w:rPr>
              <w:fldChar w:fldCharType="begin"/>
            </w:r>
            <w:r w:rsidR="00B81306">
              <w:rPr>
                <w:noProof/>
                <w:webHidden/>
              </w:rPr>
              <w:instrText xml:space="preserve"> PAGEREF _Toc38622610 \h </w:instrText>
            </w:r>
            <w:r w:rsidR="00B81306">
              <w:rPr>
                <w:noProof/>
                <w:webHidden/>
              </w:rPr>
            </w:r>
            <w:r w:rsidR="00B81306">
              <w:rPr>
                <w:noProof/>
                <w:webHidden/>
              </w:rPr>
              <w:fldChar w:fldCharType="separate"/>
            </w:r>
            <w:r w:rsidR="00B81306">
              <w:rPr>
                <w:noProof/>
                <w:webHidden/>
              </w:rPr>
              <w:t>22</w:t>
            </w:r>
            <w:r w:rsidR="00B81306">
              <w:rPr>
                <w:noProof/>
                <w:webHidden/>
              </w:rPr>
              <w:fldChar w:fldCharType="end"/>
            </w:r>
          </w:hyperlink>
        </w:p>
        <w:p w14:paraId="4600E162" w14:textId="502F5273" w:rsidR="00B81306" w:rsidRDefault="001173C3">
          <w:pPr>
            <w:pStyle w:val="TOC2"/>
            <w:tabs>
              <w:tab w:val="right" w:leader="dot" w:pos="10196"/>
            </w:tabs>
            <w:rPr>
              <w:rFonts w:cstheme="minorBidi"/>
              <w:noProof/>
              <w:lang w:val="en-AU" w:eastAsia="en-AU"/>
            </w:rPr>
          </w:pPr>
          <w:hyperlink w:anchor="_Toc38622611" w:history="1">
            <w:r w:rsidR="00B81306" w:rsidRPr="0038303C">
              <w:rPr>
                <w:rStyle w:val="Hyperlink"/>
                <w:noProof/>
              </w:rPr>
              <w:t>2019 Lesley Hall Arts and Disability Scholarship</w:t>
            </w:r>
            <w:r w:rsidR="00B81306">
              <w:rPr>
                <w:noProof/>
                <w:webHidden/>
              </w:rPr>
              <w:tab/>
            </w:r>
            <w:r w:rsidR="00B81306">
              <w:rPr>
                <w:noProof/>
                <w:webHidden/>
              </w:rPr>
              <w:fldChar w:fldCharType="begin"/>
            </w:r>
            <w:r w:rsidR="00B81306">
              <w:rPr>
                <w:noProof/>
                <w:webHidden/>
              </w:rPr>
              <w:instrText xml:space="preserve"> PAGEREF _Toc38622611 \h </w:instrText>
            </w:r>
            <w:r w:rsidR="00B81306">
              <w:rPr>
                <w:noProof/>
                <w:webHidden/>
              </w:rPr>
            </w:r>
            <w:r w:rsidR="00B81306">
              <w:rPr>
                <w:noProof/>
                <w:webHidden/>
              </w:rPr>
              <w:fldChar w:fldCharType="separate"/>
            </w:r>
            <w:r w:rsidR="00B81306">
              <w:rPr>
                <w:noProof/>
                <w:webHidden/>
              </w:rPr>
              <w:t>22</w:t>
            </w:r>
            <w:r w:rsidR="00B81306">
              <w:rPr>
                <w:noProof/>
                <w:webHidden/>
              </w:rPr>
              <w:fldChar w:fldCharType="end"/>
            </w:r>
          </w:hyperlink>
        </w:p>
        <w:p w14:paraId="2AD34B3D" w14:textId="07221F37" w:rsidR="00B81306" w:rsidRDefault="001173C3">
          <w:pPr>
            <w:pStyle w:val="TOC1"/>
            <w:tabs>
              <w:tab w:val="right" w:leader="dot" w:pos="10196"/>
            </w:tabs>
            <w:rPr>
              <w:rFonts w:cstheme="minorBidi"/>
              <w:noProof/>
              <w:lang w:val="en-AU" w:eastAsia="en-AU"/>
            </w:rPr>
          </w:pPr>
          <w:hyperlink w:anchor="_Toc38622612" w:history="1">
            <w:r w:rsidR="00B81306" w:rsidRPr="0038303C">
              <w:rPr>
                <w:rStyle w:val="Hyperlink"/>
                <w:noProof/>
              </w:rPr>
              <w:t>Impact of the NDIS on disability arts in Victoria</w:t>
            </w:r>
            <w:r w:rsidR="00B81306">
              <w:rPr>
                <w:noProof/>
                <w:webHidden/>
              </w:rPr>
              <w:tab/>
            </w:r>
            <w:r w:rsidR="00B81306">
              <w:rPr>
                <w:noProof/>
                <w:webHidden/>
              </w:rPr>
              <w:fldChar w:fldCharType="begin"/>
            </w:r>
            <w:r w:rsidR="00B81306">
              <w:rPr>
                <w:noProof/>
                <w:webHidden/>
              </w:rPr>
              <w:instrText xml:space="preserve"> PAGEREF _Toc38622612 \h </w:instrText>
            </w:r>
            <w:r w:rsidR="00B81306">
              <w:rPr>
                <w:noProof/>
                <w:webHidden/>
              </w:rPr>
            </w:r>
            <w:r w:rsidR="00B81306">
              <w:rPr>
                <w:noProof/>
                <w:webHidden/>
              </w:rPr>
              <w:fldChar w:fldCharType="separate"/>
            </w:r>
            <w:r w:rsidR="00B81306">
              <w:rPr>
                <w:noProof/>
                <w:webHidden/>
              </w:rPr>
              <w:t>24</w:t>
            </w:r>
            <w:r w:rsidR="00B81306">
              <w:rPr>
                <w:noProof/>
                <w:webHidden/>
              </w:rPr>
              <w:fldChar w:fldCharType="end"/>
            </w:r>
          </w:hyperlink>
        </w:p>
        <w:p w14:paraId="06FA2673" w14:textId="117B258A" w:rsidR="00B81306" w:rsidRDefault="001173C3">
          <w:pPr>
            <w:pStyle w:val="TOC1"/>
            <w:tabs>
              <w:tab w:val="right" w:leader="dot" w:pos="10196"/>
            </w:tabs>
            <w:rPr>
              <w:rFonts w:cstheme="minorBidi"/>
              <w:noProof/>
              <w:lang w:val="en-AU" w:eastAsia="en-AU"/>
            </w:rPr>
          </w:pPr>
          <w:hyperlink w:anchor="_Toc38622613" w:history="1">
            <w:r w:rsidR="00B81306" w:rsidRPr="0038303C">
              <w:rPr>
                <w:rStyle w:val="Hyperlink"/>
                <w:noProof/>
              </w:rPr>
              <w:t>Financial report</w:t>
            </w:r>
            <w:r w:rsidR="00B81306">
              <w:rPr>
                <w:noProof/>
                <w:webHidden/>
              </w:rPr>
              <w:tab/>
            </w:r>
            <w:r w:rsidR="00B81306">
              <w:rPr>
                <w:noProof/>
                <w:webHidden/>
              </w:rPr>
              <w:fldChar w:fldCharType="begin"/>
            </w:r>
            <w:r w:rsidR="00B81306">
              <w:rPr>
                <w:noProof/>
                <w:webHidden/>
              </w:rPr>
              <w:instrText xml:space="preserve"> PAGEREF _Toc38622613 \h </w:instrText>
            </w:r>
            <w:r w:rsidR="00B81306">
              <w:rPr>
                <w:noProof/>
                <w:webHidden/>
              </w:rPr>
            </w:r>
            <w:r w:rsidR="00B81306">
              <w:rPr>
                <w:noProof/>
                <w:webHidden/>
              </w:rPr>
              <w:fldChar w:fldCharType="separate"/>
            </w:r>
            <w:r w:rsidR="00B81306">
              <w:rPr>
                <w:noProof/>
                <w:webHidden/>
              </w:rPr>
              <w:t>26</w:t>
            </w:r>
            <w:r w:rsidR="00B81306">
              <w:rPr>
                <w:noProof/>
                <w:webHidden/>
              </w:rPr>
              <w:fldChar w:fldCharType="end"/>
            </w:r>
          </w:hyperlink>
        </w:p>
        <w:p w14:paraId="45A1C199" w14:textId="0FEB19BC" w:rsidR="00B81306" w:rsidRDefault="001173C3">
          <w:pPr>
            <w:pStyle w:val="TOC1"/>
            <w:tabs>
              <w:tab w:val="right" w:leader="dot" w:pos="10196"/>
            </w:tabs>
            <w:rPr>
              <w:rFonts w:cstheme="minorBidi"/>
              <w:noProof/>
              <w:lang w:val="en-AU" w:eastAsia="en-AU"/>
            </w:rPr>
          </w:pPr>
          <w:hyperlink w:anchor="_Toc38622614" w:history="1">
            <w:r w:rsidR="00B81306" w:rsidRPr="0038303C">
              <w:rPr>
                <w:rStyle w:val="Hyperlink"/>
                <w:noProof/>
              </w:rPr>
              <w:t>Our Board</w:t>
            </w:r>
            <w:r w:rsidR="00B81306">
              <w:rPr>
                <w:noProof/>
                <w:webHidden/>
              </w:rPr>
              <w:tab/>
            </w:r>
            <w:r w:rsidR="00B81306">
              <w:rPr>
                <w:noProof/>
                <w:webHidden/>
              </w:rPr>
              <w:fldChar w:fldCharType="begin"/>
            </w:r>
            <w:r w:rsidR="00B81306">
              <w:rPr>
                <w:noProof/>
                <w:webHidden/>
              </w:rPr>
              <w:instrText xml:space="preserve"> PAGEREF _Toc38622614 \h </w:instrText>
            </w:r>
            <w:r w:rsidR="00B81306">
              <w:rPr>
                <w:noProof/>
                <w:webHidden/>
              </w:rPr>
            </w:r>
            <w:r w:rsidR="00B81306">
              <w:rPr>
                <w:noProof/>
                <w:webHidden/>
              </w:rPr>
              <w:fldChar w:fldCharType="separate"/>
            </w:r>
            <w:r w:rsidR="00B81306">
              <w:rPr>
                <w:noProof/>
                <w:webHidden/>
              </w:rPr>
              <w:t>31</w:t>
            </w:r>
            <w:r w:rsidR="00B81306">
              <w:rPr>
                <w:noProof/>
                <w:webHidden/>
              </w:rPr>
              <w:fldChar w:fldCharType="end"/>
            </w:r>
          </w:hyperlink>
        </w:p>
        <w:p w14:paraId="698CF0C8" w14:textId="60C72757" w:rsidR="00B81306" w:rsidRDefault="001173C3">
          <w:pPr>
            <w:pStyle w:val="TOC2"/>
            <w:tabs>
              <w:tab w:val="right" w:leader="dot" w:pos="10196"/>
            </w:tabs>
            <w:rPr>
              <w:rFonts w:cstheme="minorBidi"/>
              <w:noProof/>
              <w:lang w:val="en-AU" w:eastAsia="en-AU"/>
            </w:rPr>
          </w:pPr>
          <w:hyperlink w:anchor="_Toc38622615" w:history="1">
            <w:r w:rsidR="00B81306" w:rsidRPr="0038303C">
              <w:rPr>
                <w:rStyle w:val="Hyperlink"/>
                <w:noProof/>
              </w:rPr>
              <w:t>Brad Sadler, Chair</w:t>
            </w:r>
            <w:r w:rsidR="00B81306">
              <w:rPr>
                <w:noProof/>
                <w:webHidden/>
              </w:rPr>
              <w:tab/>
            </w:r>
            <w:r w:rsidR="00B81306">
              <w:rPr>
                <w:noProof/>
                <w:webHidden/>
              </w:rPr>
              <w:fldChar w:fldCharType="begin"/>
            </w:r>
            <w:r w:rsidR="00B81306">
              <w:rPr>
                <w:noProof/>
                <w:webHidden/>
              </w:rPr>
              <w:instrText xml:space="preserve"> PAGEREF _Toc38622615 \h </w:instrText>
            </w:r>
            <w:r w:rsidR="00B81306">
              <w:rPr>
                <w:noProof/>
                <w:webHidden/>
              </w:rPr>
            </w:r>
            <w:r w:rsidR="00B81306">
              <w:rPr>
                <w:noProof/>
                <w:webHidden/>
              </w:rPr>
              <w:fldChar w:fldCharType="separate"/>
            </w:r>
            <w:r w:rsidR="00B81306">
              <w:rPr>
                <w:noProof/>
                <w:webHidden/>
              </w:rPr>
              <w:t>31</w:t>
            </w:r>
            <w:r w:rsidR="00B81306">
              <w:rPr>
                <w:noProof/>
                <w:webHidden/>
              </w:rPr>
              <w:fldChar w:fldCharType="end"/>
            </w:r>
          </w:hyperlink>
        </w:p>
        <w:p w14:paraId="5EFE1F91" w14:textId="58AC2463" w:rsidR="00B81306" w:rsidRDefault="001173C3">
          <w:pPr>
            <w:pStyle w:val="TOC2"/>
            <w:tabs>
              <w:tab w:val="right" w:leader="dot" w:pos="10196"/>
            </w:tabs>
            <w:rPr>
              <w:rFonts w:cstheme="minorBidi"/>
              <w:noProof/>
              <w:lang w:val="en-AU" w:eastAsia="en-AU"/>
            </w:rPr>
          </w:pPr>
          <w:hyperlink w:anchor="_Toc38622616" w:history="1">
            <w:r w:rsidR="00B81306" w:rsidRPr="0038303C">
              <w:rPr>
                <w:rStyle w:val="Hyperlink"/>
                <w:noProof/>
              </w:rPr>
              <w:t>Peter Crowle, Treasurer</w:t>
            </w:r>
            <w:r w:rsidR="00B81306">
              <w:rPr>
                <w:noProof/>
                <w:webHidden/>
              </w:rPr>
              <w:tab/>
            </w:r>
            <w:r w:rsidR="00B81306">
              <w:rPr>
                <w:noProof/>
                <w:webHidden/>
              </w:rPr>
              <w:fldChar w:fldCharType="begin"/>
            </w:r>
            <w:r w:rsidR="00B81306">
              <w:rPr>
                <w:noProof/>
                <w:webHidden/>
              </w:rPr>
              <w:instrText xml:space="preserve"> PAGEREF _Toc38622616 \h </w:instrText>
            </w:r>
            <w:r w:rsidR="00B81306">
              <w:rPr>
                <w:noProof/>
                <w:webHidden/>
              </w:rPr>
            </w:r>
            <w:r w:rsidR="00B81306">
              <w:rPr>
                <w:noProof/>
                <w:webHidden/>
              </w:rPr>
              <w:fldChar w:fldCharType="separate"/>
            </w:r>
            <w:r w:rsidR="00B81306">
              <w:rPr>
                <w:noProof/>
                <w:webHidden/>
              </w:rPr>
              <w:t>31</w:t>
            </w:r>
            <w:r w:rsidR="00B81306">
              <w:rPr>
                <w:noProof/>
                <w:webHidden/>
              </w:rPr>
              <w:fldChar w:fldCharType="end"/>
            </w:r>
          </w:hyperlink>
        </w:p>
        <w:p w14:paraId="560DE1A1" w14:textId="1CBC18D6" w:rsidR="00B81306" w:rsidRDefault="001173C3">
          <w:pPr>
            <w:pStyle w:val="TOC2"/>
            <w:tabs>
              <w:tab w:val="right" w:leader="dot" w:pos="10196"/>
            </w:tabs>
            <w:rPr>
              <w:rFonts w:cstheme="minorBidi"/>
              <w:noProof/>
              <w:lang w:val="en-AU" w:eastAsia="en-AU"/>
            </w:rPr>
          </w:pPr>
          <w:hyperlink w:anchor="_Toc38622617" w:history="1">
            <w:r w:rsidR="00B81306" w:rsidRPr="0038303C">
              <w:rPr>
                <w:rStyle w:val="Hyperlink"/>
                <w:noProof/>
              </w:rPr>
              <w:t>Amanda Lawrie-Jones</w:t>
            </w:r>
            <w:r w:rsidR="00B81306">
              <w:rPr>
                <w:noProof/>
                <w:webHidden/>
              </w:rPr>
              <w:tab/>
            </w:r>
            <w:r w:rsidR="00B81306">
              <w:rPr>
                <w:noProof/>
                <w:webHidden/>
              </w:rPr>
              <w:fldChar w:fldCharType="begin"/>
            </w:r>
            <w:r w:rsidR="00B81306">
              <w:rPr>
                <w:noProof/>
                <w:webHidden/>
              </w:rPr>
              <w:instrText xml:space="preserve"> PAGEREF _Toc38622617 \h </w:instrText>
            </w:r>
            <w:r w:rsidR="00B81306">
              <w:rPr>
                <w:noProof/>
                <w:webHidden/>
              </w:rPr>
            </w:r>
            <w:r w:rsidR="00B81306">
              <w:rPr>
                <w:noProof/>
                <w:webHidden/>
              </w:rPr>
              <w:fldChar w:fldCharType="separate"/>
            </w:r>
            <w:r w:rsidR="00B81306">
              <w:rPr>
                <w:noProof/>
                <w:webHidden/>
              </w:rPr>
              <w:t>31</w:t>
            </w:r>
            <w:r w:rsidR="00B81306">
              <w:rPr>
                <w:noProof/>
                <w:webHidden/>
              </w:rPr>
              <w:fldChar w:fldCharType="end"/>
            </w:r>
          </w:hyperlink>
        </w:p>
        <w:p w14:paraId="6D95C32A" w14:textId="1695E0D7" w:rsidR="00B81306" w:rsidRDefault="001173C3">
          <w:pPr>
            <w:pStyle w:val="TOC2"/>
            <w:tabs>
              <w:tab w:val="right" w:leader="dot" w:pos="10196"/>
            </w:tabs>
            <w:rPr>
              <w:rFonts w:cstheme="minorBidi"/>
              <w:noProof/>
              <w:lang w:val="en-AU" w:eastAsia="en-AU"/>
            </w:rPr>
          </w:pPr>
          <w:hyperlink w:anchor="_Toc38622618" w:history="1">
            <w:r w:rsidR="00B81306" w:rsidRPr="0038303C">
              <w:rPr>
                <w:rStyle w:val="Hyperlink"/>
                <w:noProof/>
              </w:rPr>
              <w:t>Kate Hood</w:t>
            </w:r>
            <w:r w:rsidR="00B81306">
              <w:rPr>
                <w:noProof/>
                <w:webHidden/>
              </w:rPr>
              <w:tab/>
            </w:r>
            <w:r w:rsidR="00B81306">
              <w:rPr>
                <w:noProof/>
                <w:webHidden/>
              </w:rPr>
              <w:fldChar w:fldCharType="begin"/>
            </w:r>
            <w:r w:rsidR="00B81306">
              <w:rPr>
                <w:noProof/>
                <w:webHidden/>
              </w:rPr>
              <w:instrText xml:space="preserve"> PAGEREF _Toc38622618 \h </w:instrText>
            </w:r>
            <w:r w:rsidR="00B81306">
              <w:rPr>
                <w:noProof/>
                <w:webHidden/>
              </w:rPr>
            </w:r>
            <w:r w:rsidR="00B81306">
              <w:rPr>
                <w:noProof/>
                <w:webHidden/>
              </w:rPr>
              <w:fldChar w:fldCharType="separate"/>
            </w:r>
            <w:r w:rsidR="00B81306">
              <w:rPr>
                <w:noProof/>
                <w:webHidden/>
              </w:rPr>
              <w:t>32</w:t>
            </w:r>
            <w:r w:rsidR="00B81306">
              <w:rPr>
                <w:noProof/>
                <w:webHidden/>
              </w:rPr>
              <w:fldChar w:fldCharType="end"/>
            </w:r>
          </w:hyperlink>
        </w:p>
        <w:p w14:paraId="256D0EC2" w14:textId="7190898D" w:rsidR="00B81306" w:rsidRDefault="001173C3">
          <w:pPr>
            <w:pStyle w:val="TOC2"/>
            <w:tabs>
              <w:tab w:val="right" w:leader="dot" w:pos="10196"/>
            </w:tabs>
            <w:rPr>
              <w:rFonts w:cstheme="minorBidi"/>
              <w:noProof/>
              <w:lang w:val="en-AU" w:eastAsia="en-AU"/>
            </w:rPr>
          </w:pPr>
          <w:hyperlink w:anchor="_Toc38622619" w:history="1">
            <w:r w:rsidR="00B81306" w:rsidRPr="0038303C">
              <w:rPr>
                <w:rStyle w:val="Hyperlink"/>
                <w:noProof/>
              </w:rPr>
              <w:t>Kristy Spillman</w:t>
            </w:r>
            <w:r w:rsidR="00B81306">
              <w:rPr>
                <w:noProof/>
                <w:webHidden/>
              </w:rPr>
              <w:tab/>
            </w:r>
            <w:r w:rsidR="00B81306">
              <w:rPr>
                <w:noProof/>
                <w:webHidden/>
              </w:rPr>
              <w:fldChar w:fldCharType="begin"/>
            </w:r>
            <w:r w:rsidR="00B81306">
              <w:rPr>
                <w:noProof/>
                <w:webHidden/>
              </w:rPr>
              <w:instrText xml:space="preserve"> PAGEREF _Toc38622619 \h </w:instrText>
            </w:r>
            <w:r w:rsidR="00B81306">
              <w:rPr>
                <w:noProof/>
                <w:webHidden/>
              </w:rPr>
            </w:r>
            <w:r w:rsidR="00B81306">
              <w:rPr>
                <w:noProof/>
                <w:webHidden/>
              </w:rPr>
              <w:fldChar w:fldCharType="separate"/>
            </w:r>
            <w:r w:rsidR="00B81306">
              <w:rPr>
                <w:noProof/>
                <w:webHidden/>
              </w:rPr>
              <w:t>32</w:t>
            </w:r>
            <w:r w:rsidR="00B81306">
              <w:rPr>
                <w:noProof/>
                <w:webHidden/>
              </w:rPr>
              <w:fldChar w:fldCharType="end"/>
            </w:r>
          </w:hyperlink>
        </w:p>
        <w:p w14:paraId="63DBDC8D" w14:textId="759300C7" w:rsidR="00B81306" w:rsidRDefault="001173C3">
          <w:pPr>
            <w:pStyle w:val="TOC2"/>
            <w:tabs>
              <w:tab w:val="right" w:leader="dot" w:pos="10196"/>
            </w:tabs>
            <w:rPr>
              <w:rFonts w:cstheme="minorBidi"/>
              <w:noProof/>
              <w:lang w:val="en-AU" w:eastAsia="en-AU"/>
            </w:rPr>
          </w:pPr>
          <w:hyperlink w:anchor="_Toc38622620" w:history="1">
            <w:r w:rsidR="00B81306" w:rsidRPr="0038303C">
              <w:rPr>
                <w:rStyle w:val="Hyperlink"/>
                <w:noProof/>
              </w:rPr>
              <w:t>Luke King</w:t>
            </w:r>
            <w:r w:rsidR="00B81306">
              <w:rPr>
                <w:noProof/>
                <w:webHidden/>
              </w:rPr>
              <w:tab/>
            </w:r>
            <w:r w:rsidR="00B81306">
              <w:rPr>
                <w:noProof/>
                <w:webHidden/>
              </w:rPr>
              <w:fldChar w:fldCharType="begin"/>
            </w:r>
            <w:r w:rsidR="00B81306">
              <w:rPr>
                <w:noProof/>
                <w:webHidden/>
              </w:rPr>
              <w:instrText xml:space="preserve"> PAGEREF _Toc38622620 \h </w:instrText>
            </w:r>
            <w:r w:rsidR="00B81306">
              <w:rPr>
                <w:noProof/>
                <w:webHidden/>
              </w:rPr>
            </w:r>
            <w:r w:rsidR="00B81306">
              <w:rPr>
                <w:noProof/>
                <w:webHidden/>
              </w:rPr>
              <w:fldChar w:fldCharType="separate"/>
            </w:r>
            <w:r w:rsidR="00B81306">
              <w:rPr>
                <w:noProof/>
                <w:webHidden/>
              </w:rPr>
              <w:t>32</w:t>
            </w:r>
            <w:r w:rsidR="00B81306">
              <w:rPr>
                <w:noProof/>
                <w:webHidden/>
              </w:rPr>
              <w:fldChar w:fldCharType="end"/>
            </w:r>
          </w:hyperlink>
        </w:p>
        <w:p w14:paraId="04A8F048" w14:textId="7F714B8C" w:rsidR="00B81306" w:rsidRDefault="001173C3">
          <w:pPr>
            <w:pStyle w:val="TOC2"/>
            <w:tabs>
              <w:tab w:val="right" w:leader="dot" w:pos="10196"/>
            </w:tabs>
            <w:rPr>
              <w:rFonts w:cstheme="minorBidi"/>
              <w:noProof/>
              <w:lang w:val="en-AU" w:eastAsia="en-AU"/>
            </w:rPr>
          </w:pPr>
          <w:hyperlink w:anchor="_Toc38622621" w:history="1">
            <w:r w:rsidR="00B81306" w:rsidRPr="0038303C">
              <w:rPr>
                <w:rStyle w:val="Hyperlink"/>
                <w:noProof/>
              </w:rPr>
              <w:t>Sonia Turnbull</w:t>
            </w:r>
            <w:r w:rsidR="00B81306">
              <w:rPr>
                <w:noProof/>
                <w:webHidden/>
              </w:rPr>
              <w:tab/>
            </w:r>
            <w:r w:rsidR="00B81306">
              <w:rPr>
                <w:noProof/>
                <w:webHidden/>
              </w:rPr>
              <w:fldChar w:fldCharType="begin"/>
            </w:r>
            <w:r w:rsidR="00B81306">
              <w:rPr>
                <w:noProof/>
                <w:webHidden/>
              </w:rPr>
              <w:instrText xml:space="preserve"> PAGEREF _Toc38622621 \h </w:instrText>
            </w:r>
            <w:r w:rsidR="00B81306">
              <w:rPr>
                <w:noProof/>
                <w:webHidden/>
              </w:rPr>
            </w:r>
            <w:r w:rsidR="00B81306">
              <w:rPr>
                <w:noProof/>
                <w:webHidden/>
              </w:rPr>
              <w:fldChar w:fldCharType="separate"/>
            </w:r>
            <w:r w:rsidR="00B81306">
              <w:rPr>
                <w:noProof/>
                <w:webHidden/>
              </w:rPr>
              <w:t>33</w:t>
            </w:r>
            <w:r w:rsidR="00B81306">
              <w:rPr>
                <w:noProof/>
                <w:webHidden/>
              </w:rPr>
              <w:fldChar w:fldCharType="end"/>
            </w:r>
          </w:hyperlink>
        </w:p>
        <w:p w14:paraId="53128729" w14:textId="132DCB08" w:rsidR="009E69F0" w:rsidRPr="00B81306" w:rsidRDefault="001173C3" w:rsidP="00B81306">
          <w:pPr>
            <w:pStyle w:val="TOC1"/>
            <w:tabs>
              <w:tab w:val="right" w:leader="dot" w:pos="10196"/>
            </w:tabs>
            <w:rPr>
              <w:rFonts w:cstheme="minorBidi"/>
              <w:noProof/>
              <w:lang w:val="en-AU" w:eastAsia="en-AU"/>
            </w:rPr>
          </w:pPr>
          <w:hyperlink w:anchor="_Toc38622622" w:history="1">
            <w:r w:rsidR="00B81306" w:rsidRPr="0038303C">
              <w:rPr>
                <w:rStyle w:val="Hyperlink"/>
                <w:noProof/>
              </w:rPr>
              <w:t>Our supporters</w:t>
            </w:r>
            <w:r w:rsidR="00B81306">
              <w:rPr>
                <w:noProof/>
                <w:webHidden/>
              </w:rPr>
              <w:tab/>
            </w:r>
            <w:r w:rsidR="00B81306">
              <w:rPr>
                <w:noProof/>
                <w:webHidden/>
              </w:rPr>
              <w:fldChar w:fldCharType="begin"/>
            </w:r>
            <w:r w:rsidR="00B81306">
              <w:rPr>
                <w:noProof/>
                <w:webHidden/>
              </w:rPr>
              <w:instrText xml:space="preserve"> PAGEREF _Toc38622622 \h </w:instrText>
            </w:r>
            <w:r w:rsidR="00B81306">
              <w:rPr>
                <w:noProof/>
                <w:webHidden/>
              </w:rPr>
            </w:r>
            <w:r w:rsidR="00B81306">
              <w:rPr>
                <w:noProof/>
                <w:webHidden/>
              </w:rPr>
              <w:fldChar w:fldCharType="separate"/>
            </w:r>
            <w:r w:rsidR="00B81306">
              <w:rPr>
                <w:noProof/>
                <w:webHidden/>
              </w:rPr>
              <w:t>34</w:t>
            </w:r>
            <w:r w:rsidR="00B81306">
              <w:rPr>
                <w:noProof/>
                <w:webHidden/>
              </w:rPr>
              <w:fldChar w:fldCharType="end"/>
            </w:r>
          </w:hyperlink>
          <w:r w:rsidR="002B757D" w:rsidRPr="002B757D">
            <w:rPr>
              <w:rFonts w:cstheme="minorHAnsi"/>
              <w:b/>
              <w:bCs/>
              <w:noProof/>
              <w:sz w:val="28"/>
              <w:szCs w:val="28"/>
            </w:rPr>
            <w:fldChar w:fldCharType="end"/>
          </w:r>
        </w:p>
      </w:sdtContent>
    </w:sdt>
    <w:p w14:paraId="1ABA3004" w14:textId="77777777" w:rsidR="009E69F0" w:rsidRDefault="009E69F0">
      <w:pPr>
        <w:rPr>
          <w:rFonts w:cstheme="minorHAnsi"/>
          <w:b/>
          <w:bCs/>
          <w:noProof/>
          <w:sz w:val="28"/>
          <w:szCs w:val="28"/>
        </w:rPr>
      </w:pPr>
      <w:r>
        <w:rPr>
          <w:rFonts w:cstheme="minorHAnsi"/>
          <w:b/>
          <w:bCs/>
          <w:noProof/>
          <w:sz w:val="28"/>
          <w:szCs w:val="28"/>
        </w:rPr>
        <w:br w:type="page"/>
      </w:r>
    </w:p>
    <w:p w14:paraId="31C18ACD" w14:textId="5A3EE512" w:rsidR="009E69F0" w:rsidRPr="009E69F0" w:rsidRDefault="009E69F0" w:rsidP="00B81306">
      <w:pPr>
        <w:pStyle w:val="header1"/>
      </w:pPr>
      <w:bookmarkStart w:id="0" w:name="_Toc38622579"/>
      <w:r w:rsidRPr="009E69F0">
        <w:lastRenderedPageBreak/>
        <w:t>2019 0verview</w:t>
      </w:r>
      <w:bookmarkEnd w:id="0"/>
    </w:p>
    <w:p w14:paraId="3DC22B26" w14:textId="675747A6" w:rsidR="001C7503" w:rsidRDefault="009E69F0" w:rsidP="009E69F0">
      <w:pPr>
        <w:pStyle w:val="header2"/>
      </w:pPr>
      <w:bookmarkStart w:id="1" w:name="_Toc38622580"/>
      <w:r>
        <w:t>AAV exceeded or met all 21 of our KPIs.</w:t>
      </w:r>
      <w:bookmarkEnd w:id="1"/>
    </w:p>
    <w:p w14:paraId="641192BC" w14:textId="77777777" w:rsidR="00B81306" w:rsidRDefault="00B81306" w:rsidP="00B81306">
      <w:pPr>
        <w:ind w:right="992"/>
        <w:rPr>
          <w:rFonts w:ascii="AcuminVariableConcept" w:hAnsi="AcuminVariableConcept" w:cs="AcuminVariableConcept"/>
          <w:color w:val="414142"/>
          <w:sz w:val="36"/>
          <w:szCs w:val="36"/>
        </w:rPr>
      </w:pPr>
    </w:p>
    <w:p w14:paraId="1A649FD2" w14:textId="0DA15175" w:rsidR="009E69F0" w:rsidRDefault="00B81306" w:rsidP="00B81306">
      <w:pPr>
        <w:pStyle w:val="body"/>
      </w:pPr>
      <w:r w:rsidRPr="00B81306">
        <w:t>More than</w:t>
      </w:r>
      <w:r>
        <w:t xml:space="preserve"> </w:t>
      </w:r>
      <w:r w:rsidRPr="00B81306">
        <w:t>1,300</w:t>
      </w:r>
      <w:r>
        <w:t xml:space="preserve"> </w:t>
      </w:r>
      <w:r w:rsidRPr="00B81306">
        <w:t>artists supported</w:t>
      </w:r>
    </w:p>
    <w:p w14:paraId="00BE9EC2" w14:textId="79C515D4" w:rsidR="00B81306" w:rsidRDefault="00B81306" w:rsidP="00B81306">
      <w:pPr>
        <w:pStyle w:val="body"/>
      </w:pPr>
      <w:r>
        <w:t>More than 1,300 artists supported</w:t>
      </w:r>
    </w:p>
    <w:p w14:paraId="18E35D01" w14:textId="1F33522F" w:rsidR="00B81306" w:rsidRDefault="00B81306" w:rsidP="00B81306">
      <w:pPr>
        <w:pStyle w:val="body"/>
      </w:pPr>
      <w:r>
        <w:t>78 exhibitions and performances</w:t>
      </w:r>
    </w:p>
    <w:p w14:paraId="0EE49DD5" w14:textId="25EA9036" w:rsidR="00B81306" w:rsidRDefault="00B81306" w:rsidP="00B81306">
      <w:pPr>
        <w:pStyle w:val="body"/>
      </w:pPr>
      <w:r>
        <w:t>1,699 Creative workshops</w:t>
      </w:r>
    </w:p>
    <w:p w14:paraId="32AB3C4A" w14:textId="14F6E7BF" w:rsidR="00B81306" w:rsidRDefault="00B81306" w:rsidP="00B81306">
      <w:pPr>
        <w:pStyle w:val="body"/>
      </w:pPr>
      <w:r>
        <w:t>64,442 audience members engaged</w:t>
      </w:r>
    </w:p>
    <w:p w14:paraId="5F25420F" w14:textId="26364A8D" w:rsidR="00B81306" w:rsidRDefault="00B81306" w:rsidP="00B81306">
      <w:pPr>
        <w:pStyle w:val="body"/>
      </w:pPr>
      <w:r>
        <w:t>98 strategic partnerships</w:t>
      </w:r>
    </w:p>
    <w:p w14:paraId="0BD6D965" w14:textId="02AD5750" w:rsidR="00B81306" w:rsidRDefault="00B81306" w:rsidP="00B81306">
      <w:pPr>
        <w:pStyle w:val="body"/>
      </w:pPr>
      <w:r>
        <w:t>58 training workshops and consultations</w:t>
      </w:r>
    </w:p>
    <w:p w14:paraId="4EFB46BE" w14:textId="7AB333E2" w:rsidR="00B81306" w:rsidRDefault="00B81306" w:rsidP="00B81306">
      <w:pPr>
        <w:pStyle w:val="body"/>
      </w:pPr>
      <w:r>
        <w:t>66 lectures and seminars</w:t>
      </w:r>
    </w:p>
    <w:p w14:paraId="47DA550B" w14:textId="4E428027" w:rsidR="00B81306" w:rsidRDefault="00B81306" w:rsidP="00B81306">
      <w:pPr>
        <w:pStyle w:val="body"/>
      </w:pPr>
      <w:r>
        <w:t>35,324 Information requests</w:t>
      </w:r>
    </w:p>
    <w:p w14:paraId="683B318E" w14:textId="12971909" w:rsidR="00B81306" w:rsidRDefault="00B81306" w:rsidP="00B81306">
      <w:pPr>
        <w:pStyle w:val="body"/>
      </w:pPr>
      <w:r>
        <w:t>187, 359 website views</w:t>
      </w:r>
    </w:p>
    <w:p w14:paraId="49A83BAC" w14:textId="54A46AC2" w:rsidR="00B81306" w:rsidRDefault="00B81306" w:rsidP="00B81306">
      <w:pPr>
        <w:pStyle w:val="body"/>
      </w:pPr>
      <w:r>
        <w:t>4,264 subscribers to monthly eNews</w:t>
      </w:r>
    </w:p>
    <w:p w14:paraId="42A08565" w14:textId="68B111E0" w:rsidR="00B81306" w:rsidRDefault="00B81306" w:rsidP="00B81306">
      <w:pPr>
        <w:pStyle w:val="body"/>
      </w:pPr>
      <w:r>
        <w:t>13,841 social media followers</w:t>
      </w:r>
    </w:p>
    <w:p w14:paraId="2E93A901" w14:textId="2F4A09B5" w:rsidR="009E69F0" w:rsidRDefault="009E69F0">
      <w:pPr>
        <w:rPr>
          <w:rFonts w:cstheme="minorHAnsi"/>
          <w:sz w:val="28"/>
          <w:szCs w:val="28"/>
        </w:rPr>
      </w:pPr>
      <w:r>
        <w:rPr>
          <w:rFonts w:cstheme="minorHAnsi"/>
          <w:sz w:val="28"/>
          <w:szCs w:val="28"/>
        </w:rPr>
        <w:br w:type="page"/>
      </w:r>
    </w:p>
    <w:p w14:paraId="095BCEC7" w14:textId="1DC44C60" w:rsidR="00166FB0" w:rsidRPr="00166FB0" w:rsidRDefault="00166FB0" w:rsidP="00B81306">
      <w:pPr>
        <w:pStyle w:val="header1"/>
      </w:pPr>
      <w:bookmarkStart w:id="2" w:name="_Toc38622581"/>
      <w:r w:rsidRPr="00166FB0">
        <w:lastRenderedPageBreak/>
        <w:t>Reports</w:t>
      </w:r>
      <w:bookmarkEnd w:id="2"/>
    </w:p>
    <w:p w14:paraId="4663286A" w14:textId="0EB2C5B0" w:rsidR="009E69F0" w:rsidRDefault="00166FB0" w:rsidP="00166FB0">
      <w:pPr>
        <w:pStyle w:val="header2"/>
      </w:pPr>
      <w:bookmarkStart w:id="3" w:name="_Toc38622582"/>
      <w:r w:rsidRPr="00166FB0">
        <w:t>Chairperson’s report</w:t>
      </w:r>
      <w:bookmarkEnd w:id="3"/>
    </w:p>
    <w:p w14:paraId="36A90BCC" w14:textId="77777777" w:rsidR="00166FB0" w:rsidRDefault="00166FB0" w:rsidP="00166FB0">
      <w:pPr>
        <w:pStyle w:val="body"/>
      </w:pPr>
      <w:r>
        <w:t>In writing this report, I am pleased to reflect on the fact that, once again in 2019, the achievements of our artists across all media have been outstanding. Recently, I visited my local regional gallery in Central Victoria to see work of an artist that AAV works with. I was delighted to hear the buzz about their work amongst fellow patrons.</w:t>
      </w:r>
    </w:p>
    <w:p w14:paraId="0E366170" w14:textId="77777777" w:rsidR="00166FB0" w:rsidRDefault="00166FB0" w:rsidP="00166FB0">
      <w:pPr>
        <w:pStyle w:val="body"/>
      </w:pPr>
    </w:p>
    <w:p w14:paraId="5744AE5F" w14:textId="77777777" w:rsidR="00166FB0" w:rsidRDefault="00166FB0" w:rsidP="00166FB0">
      <w:pPr>
        <w:pStyle w:val="body"/>
      </w:pPr>
      <w:r>
        <w:t>2019 was a challenging, busy, productive and exciting year for our organization, and our first full year of being Disability-led. This has seen our profile as a national leader in the Disability,</w:t>
      </w:r>
    </w:p>
    <w:p w14:paraId="7B5696FF" w14:textId="6CB5D29E" w:rsidR="00166FB0" w:rsidRDefault="00166FB0" w:rsidP="00166FB0">
      <w:pPr>
        <w:pStyle w:val="body"/>
      </w:pPr>
      <w:r>
        <w:t>Arts, Inclusion and Rights spheres continue to grow. As a result, we have increasingly informed policy and program approaches across the country at all levels of the arts, government and non-government sectors.</w:t>
      </w:r>
    </w:p>
    <w:p w14:paraId="0976C132" w14:textId="77777777" w:rsidR="00166FB0" w:rsidRDefault="00166FB0" w:rsidP="00166FB0">
      <w:pPr>
        <w:pStyle w:val="body"/>
      </w:pPr>
      <w:r>
        <w:t>On behalf of the board, I would like to sincerely thank Caroline, the directors, Nikki and Susan, and all the staff of AAV for making this happen. As Chair, I would also like to thank our volunteer board members for their commitment to continue to drive the governance and strategic agenda at AAV.</w:t>
      </w:r>
    </w:p>
    <w:p w14:paraId="2BDE40C8" w14:textId="77777777" w:rsidR="00166FB0" w:rsidRDefault="00166FB0" w:rsidP="00166FB0">
      <w:pPr>
        <w:pStyle w:val="body"/>
      </w:pPr>
    </w:p>
    <w:p w14:paraId="165DF535" w14:textId="017CD94C" w:rsidR="00166FB0" w:rsidRDefault="00166FB0" w:rsidP="00166FB0">
      <w:pPr>
        <w:pStyle w:val="body"/>
      </w:pPr>
      <w:r>
        <w:t>2020 is shaping up to be a remarkable year for us and I am excited to see where Caroline and her team will lead us.</w:t>
      </w:r>
    </w:p>
    <w:p w14:paraId="2DA8D96E" w14:textId="0BE989A8" w:rsidR="00166FB0" w:rsidRDefault="00166FB0" w:rsidP="00166FB0">
      <w:pPr>
        <w:pStyle w:val="body"/>
        <w:numPr>
          <w:ilvl w:val="0"/>
          <w:numId w:val="6"/>
        </w:numPr>
      </w:pPr>
      <w:r w:rsidRPr="00166FB0">
        <w:t>Brad Sadler</w:t>
      </w:r>
    </w:p>
    <w:p w14:paraId="1952B77E" w14:textId="15561EDD" w:rsidR="00166FB0" w:rsidRDefault="00166FB0">
      <w:pPr>
        <w:rPr>
          <w:rFonts w:cstheme="minorHAnsi"/>
          <w:color w:val="2C2D35"/>
          <w:spacing w:val="-2"/>
          <w:sz w:val="28"/>
          <w:szCs w:val="28"/>
          <w:lang w:val="en-GB"/>
        </w:rPr>
      </w:pPr>
      <w:r>
        <w:br w:type="page"/>
      </w:r>
    </w:p>
    <w:p w14:paraId="46995EBB" w14:textId="77777777" w:rsidR="00166FB0" w:rsidRDefault="00166FB0" w:rsidP="00166FB0">
      <w:pPr>
        <w:pStyle w:val="header2"/>
      </w:pPr>
      <w:bookmarkStart w:id="4" w:name="_Toc38622583"/>
      <w:r>
        <w:lastRenderedPageBreak/>
        <w:t>Chief Executive Officer’s report</w:t>
      </w:r>
      <w:bookmarkEnd w:id="4"/>
    </w:p>
    <w:p w14:paraId="04D40F11" w14:textId="77777777" w:rsidR="00166FB0" w:rsidRPr="00166FB0" w:rsidRDefault="00166FB0" w:rsidP="00166FB0">
      <w:pPr>
        <w:pStyle w:val="body"/>
      </w:pPr>
      <w:r w:rsidRPr="00166FB0">
        <w:t>2019 was a year of questioning, of sharing and of listening locally, nationally and internationally.</w:t>
      </w:r>
    </w:p>
    <w:p w14:paraId="5652BE90" w14:textId="77777777" w:rsidR="00166FB0" w:rsidRPr="00166FB0" w:rsidRDefault="00166FB0" w:rsidP="00166FB0">
      <w:pPr>
        <w:pStyle w:val="body"/>
      </w:pPr>
    </w:p>
    <w:p w14:paraId="3F658DC7" w14:textId="77777777" w:rsidR="00166FB0" w:rsidRPr="00166FB0" w:rsidRDefault="00166FB0" w:rsidP="00166FB0">
      <w:pPr>
        <w:pStyle w:val="body"/>
      </w:pPr>
      <w:r w:rsidRPr="00166FB0">
        <w:t>I was lucky enough to represent AAV at the World Summit on Arts and Culture in Malaysia, where I asked the very simple, but somehow profound question, ‘Are we including disability when we talk and think about diversity?’</w:t>
      </w:r>
    </w:p>
    <w:p w14:paraId="35FCE19C" w14:textId="77777777" w:rsidR="00166FB0" w:rsidRPr="00166FB0" w:rsidRDefault="00166FB0" w:rsidP="00166FB0">
      <w:pPr>
        <w:pStyle w:val="body"/>
      </w:pPr>
    </w:p>
    <w:p w14:paraId="4168011A" w14:textId="77777777" w:rsidR="00166FB0" w:rsidRPr="00166FB0" w:rsidRDefault="00166FB0" w:rsidP="00166FB0">
      <w:pPr>
        <w:pStyle w:val="body"/>
      </w:pPr>
      <w:r w:rsidRPr="00166FB0">
        <w:t xml:space="preserve">We were invited into spaces and places </w:t>
      </w:r>
      <w:proofErr w:type="gramStart"/>
      <w:r w:rsidRPr="00166FB0">
        <w:t>we’d</w:t>
      </w:r>
      <w:proofErr w:type="gramEnd"/>
      <w:r w:rsidRPr="00166FB0">
        <w:t xml:space="preserve"> never been before, to lead and be involved in new and evolving conversations about culture and art and our essential role in it.</w:t>
      </w:r>
    </w:p>
    <w:p w14:paraId="4DFF1DB5" w14:textId="77777777" w:rsidR="00166FB0" w:rsidRPr="00166FB0" w:rsidRDefault="00166FB0" w:rsidP="00166FB0">
      <w:pPr>
        <w:pStyle w:val="body"/>
      </w:pPr>
      <w:r w:rsidRPr="00166FB0">
        <w:t>We extended invitations to artists, grassroots to established. We formed new collaborations in the sector and built on our existing</w:t>
      </w:r>
    </w:p>
    <w:p w14:paraId="4F238BBC" w14:textId="77777777" w:rsidR="00166FB0" w:rsidRPr="00166FB0" w:rsidRDefault="00166FB0" w:rsidP="00166FB0">
      <w:pPr>
        <w:pStyle w:val="body"/>
      </w:pPr>
      <w:r w:rsidRPr="00166FB0">
        <w:t>relationships. Through a series of consultations and conversations with many of you, we got to learn about your dreams for AAV. And we have begun to plot and plan our future direction.</w:t>
      </w:r>
    </w:p>
    <w:p w14:paraId="21B4831D" w14:textId="77777777" w:rsidR="00166FB0" w:rsidRPr="00166FB0" w:rsidRDefault="00166FB0" w:rsidP="00166FB0">
      <w:pPr>
        <w:pStyle w:val="body"/>
      </w:pPr>
      <w:r w:rsidRPr="00166FB0">
        <w:t>Our focus continues to be on increasing the visibility of Deaf and Disabled artists, to</w:t>
      </w:r>
    </w:p>
    <w:p w14:paraId="2516C4E1" w14:textId="77777777" w:rsidR="00166FB0" w:rsidRPr="00166FB0" w:rsidRDefault="00166FB0" w:rsidP="00166FB0">
      <w:pPr>
        <w:pStyle w:val="body"/>
      </w:pPr>
      <w:r w:rsidRPr="00166FB0">
        <w:t xml:space="preserve">support and build the skills of artists and the sector, and to produce and present art for </w:t>
      </w:r>
      <w:proofErr w:type="spellStart"/>
      <w:proofErr w:type="gramStart"/>
      <w:r w:rsidRPr="00166FB0">
        <w:t>every body</w:t>
      </w:r>
      <w:proofErr w:type="spellEnd"/>
      <w:proofErr w:type="gramEnd"/>
      <w:r w:rsidRPr="00166FB0">
        <w:t>.</w:t>
      </w:r>
    </w:p>
    <w:p w14:paraId="758BC14E" w14:textId="77777777" w:rsidR="00166FB0" w:rsidRPr="00166FB0" w:rsidRDefault="00166FB0" w:rsidP="00166FB0">
      <w:pPr>
        <w:pStyle w:val="body"/>
      </w:pPr>
    </w:p>
    <w:p w14:paraId="0D83B7D0" w14:textId="77777777" w:rsidR="00166FB0" w:rsidRPr="00166FB0" w:rsidRDefault="00166FB0" w:rsidP="00166FB0">
      <w:pPr>
        <w:pStyle w:val="body"/>
      </w:pPr>
      <w:r w:rsidRPr="00166FB0">
        <w:t>Thank you to our supporters and funders who provide the means to effect change; to the generous staff team who work tirelessly and seemingly effortlessly to make amazing things happen; and to the Board for their on-going investment in the organisation paid for by the bucketload in wisdom, advice and belief.</w:t>
      </w:r>
    </w:p>
    <w:p w14:paraId="112F5E63" w14:textId="77777777" w:rsidR="00166FB0" w:rsidRPr="00166FB0" w:rsidRDefault="00166FB0" w:rsidP="00166FB0">
      <w:pPr>
        <w:pStyle w:val="body"/>
      </w:pPr>
    </w:p>
    <w:p w14:paraId="23EABFB5" w14:textId="0028D3C5" w:rsidR="00166FB0" w:rsidRDefault="00166FB0" w:rsidP="00166FB0">
      <w:pPr>
        <w:pStyle w:val="body"/>
      </w:pPr>
      <w:r w:rsidRPr="00166FB0">
        <w:t>But I am most grateful to the artists who we have the honour and pleasure to work with.</w:t>
      </w:r>
      <w:r>
        <w:t xml:space="preserve"> </w:t>
      </w:r>
      <w:r w:rsidRPr="00166FB0">
        <w:t>Thank you for inviting us in and allowing us to be part of your incredible artistic journeys.</w:t>
      </w:r>
    </w:p>
    <w:p w14:paraId="3950E523" w14:textId="74A3BA35" w:rsidR="00166FB0" w:rsidRDefault="00166FB0" w:rsidP="00166FB0">
      <w:pPr>
        <w:pStyle w:val="body"/>
        <w:numPr>
          <w:ilvl w:val="0"/>
          <w:numId w:val="6"/>
        </w:numPr>
      </w:pPr>
      <w:r w:rsidRPr="00166FB0">
        <w:t>Caroline Bowditch</w:t>
      </w:r>
    </w:p>
    <w:p w14:paraId="482B72BF" w14:textId="45DDEE04" w:rsidR="00166FB0" w:rsidRDefault="00166FB0">
      <w:pPr>
        <w:rPr>
          <w:rFonts w:cstheme="minorHAnsi"/>
          <w:color w:val="2C2D35"/>
          <w:spacing w:val="-2"/>
          <w:sz w:val="28"/>
          <w:szCs w:val="28"/>
          <w:lang w:val="en-GB"/>
        </w:rPr>
      </w:pPr>
      <w:r>
        <w:br w:type="page"/>
      </w:r>
    </w:p>
    <w:p w14:paraId="2FC93006" w14:textId="299CEC59" w:rsidR="00166FB0" w:rsidRDefault="00166FB0" w:rsidP="00B81306">
      <w:pPr>
        <w:pStyle w:val="header1"/>
      </w:pPr>
      <w:bookmarkStart w:id="5" w:name="_Toc38622584"/>
      <w:r>
        <w:lastRenderedPageBreak/>
        <w:t>Our Language</w:t>
      </w:r>
      <w:bookmarkEnd w:id="5"/>
    </w:p>
    <w:p w14:paraId="5321AD75" w14:textId="20EF3C26" w:rsidR="00166FB0" w:rsidRDefault="00166FB0" w:rsidP="00166FB0">
      <w:pPr>
        <w:pStyle w:val="header2"/>
      </w:pPr>
      <w:bookmarkStart w:id="6" w:name="_Toc38622585"/>
      <w:r>
        <w:t>Deaf and Disabled people</w:t>
      </w:r>
      <w:bookmarkEnd w:id="6"/>
    </w:p>
    <w:p w14:paraId="4E084EF9" w14:textId="77777777" w:rsidR="00166FB0" w:rsidRDefault="00166FB0" w:rsidP="00166FB0">
      <w:pPr>
        <w:pStyle w:val="body"/>
      </w:pPr>
      <w:r>
        <w:t>Arts Access Victoria strongly supports every person’s self determination to label and define disability in their own way. For the purposes of this document, we will use the term ‘Deaf and Disabled people’. This aligns to the Social Model of Disability outlined below.</w:t>
      </w:r>
    </w:p>
    <w:p w14:paraId="2FCA8EC2" w14:textId="77777777" w:rsidR="00166FB0" w:rsidRDefault="00166FB0" w:rsidP="00166FB0">
      <w:pPr>
        <w:pStyle w:val="body"/>
      </w:pPr>
    </w:p>
    <w:p w14:paraId="34553972" w14:textId="6C4DED23" w:rsidR="00166FB0" w:rsidRDefault="00166FB0" w:rsidP="00166FB0">
      <w:pPr>
        <w:pStyle w:val="body"/>
      </w:pPr>
      <w:r>
        <w:t xml:space="preserve">Disability can be visible or invisible, sensory, physical, </w:t>
      </w:r>
      <w:proofErr w:type="spellStart"/>
      <w:r>
        <w:t>neurodiverse</w:t>
      </w:r>
      <w:proofErr w:type="spellEnd"/>
      <w:r>
        <w:t>, cognitive, intellectual or developmental. Our definition includes people with lived experience of mental health or illness. We use this definition as an act of pride and solidarity. Disabled people are diverse and have intersecting identities; they are never just disabled people.</w:t>
      </w:r>
    </w:p>
    <w:p w14:paraId="44899438" w14:textId="77777777" w:rsidR="00166FB0" w:rsidRDefault="00166FB0" w:rsidP="00166FB0">
      <w:pPr>
        <w:pStyle w:val="body"/>
      </w:pPr>
    </w:p>
    <w:p w14:paraId="6D07FEF5" w14:textId="77777777" w:rsidR="00166FB0" w:rsidRDefault="00166FB0" w:rsidP="00166FB0">
      <w:pPr>
        <w:pStyle w:val="body"/>
      </w:pPr>
      <w:r>
        <w:t>The terms Deaf and Disabled people are linked to a cultural identity and experience. We recognise and support the right of the Deaf community to label their experiences not as disability, but as one of cultural and linguistic difference.</w:t>
      </w:r>
    </w:p>
    <w:p w14:paraId="66CCFC4E" w14:textId="77777777" w:rsidR="00166FB0" w:rsidRDefault="00166FB0" w:rsidP="00166FB0">
      <w:pPr>
        <w:pStyle w:val="body"/>
      </w:pPr>
    </w:p>
    <w:p w14:paraId="2BF865AC" w14:textId="14E32F7C" w:rsidR="00166FB0" w:rsidRDefault="00166FB0" w:rsidP="00166FB0">
      <w:pPr>
        <w:pStyle w:val="header2"/>
      </w:pPr>
      <w:bookmarkStart w:id="7" w:name="_Toc38622586"/>
      <w:r>
        <w:t>Disability-led</w:t>
      </w:r>
      <w:bookmarkEnd w:id="7"/>
    </w:p>
    <w:p w14:paraId="73613D17" w14:textId="77777777" w:rsidR="00166FB0" w:rsidRDefault="00166FB0" w:rsidP="00166FB0">
      <w:pPr>
        <w:pStyle w:val="body"/>
      </w:pPr>
      <w:r>
        <w:t>In an arts practice context, Deaf and Disabled people have creative control and make the creative decisions. In an organisational context, disability-led is defined by having a majority of Deaf and Disabled people in charge of the running and governance of the organization.</w:t>
      </w:r>
    </w:p>
    <w:p w14:paraId="747191BD" w14:textId="77777777" w:rsidR="00166FB0" w:rsidRDefault="00166FB0" w:rsidP="00166FB0">
      <w:pPr>
        <w:pStyle w:val="body"/>
      </w:pPr>
    </w:p>
    <w:p w14:paraId="0F89138D" w14:textId="28806517" w:rsidR="00166FB0" w:rsidRDefault="00166FB0" w:rsidP="00166FB0">
      <w:pPr>
        <w:pStyle w:val="header2"/>
      </w:pPr>
      <w:bookmarkStart w:id="8" w:name="_Toc38622587"/>
      <w:r>
        <w:t>Social Model of Disabilit</w:t>
      </w:r>
      <w:r w:rsidR="645D7823">
        <w:t>y</w:t>
      </w:r>
      <w:bookmarkEnd w:id="8"/>
    </w:p>
    <w:p w14:paraId="18BFD2B4" w14:textId="77777777" w:rsidR="00166FB0" w:rsidRDefault="00166FB0" w:rsidP="00166FB0">
      <w:pPr>
        <w:pStyle w:val="body"/>
      </w:pPr>
      <w:r>
        <w:t>Developed by disabled people, the social model is based on equality and human rights. It is used to identify and act against discrimination. It recognises that people are disabled by the barriers created by society, not by a medical condition or impairment.</w:t>
      </w:r>
    </w:p>
    <w:p w14:paraId="12030C00" w14:textId="77777777" w:rsidR="00166FB0" w:rsidRDefault="00166FB0" w:rsidP="00166FB0">
      <w:pPr>
        <w:pStyle w:val="body"/>
      </w:pPr>
    </w:p>
    <w:p w14:paraId="6E00E71E" w14:textId="65C44105" w:rsidR="00166FB0" w:rsidRDefault="00166FB0" w:rsidP="00166FB0">
      <w:pPr>
        <w:pStyle w:val="body"/>
      </w:pPr>
      <w:r>
        <w:t xml:space="preserve">The degree to which a person is disabled is directly impacted by the inaccessibility of the environment, communications and attitudes. This model recognises people’s full participation as citizens. We do not use the word disability to mean impairment. The word </w:t>
      </w:r>
      <w:r>
        <w:lastRenderedPageBreak/>
        <w:t>disability means barriers and discrimination. The problem is NOT the individual and it involves everyone in identifying and removing barriers.</w:t>
      </w:r>
    </w:p>
    <w:p w14:paraId="34FF4125" w14:textId="77777777" w:rsidR="00166FB0" w:rsidRDefault="00166FB0">
      <w:pPr>
        <w:rPr>
          <w:rFonts w:cstheme="minorHAnsi"/>
          <w:color w:val="2C2D35"/>
          <w:spacing w:val="-2"/>
          <w:sz w:val="28"/>
          <w:szCs w:val="28"/>
          <w:lang w:val="en-GB"/>
        </w:rPr>
      </w:pPr>
      <w:r>
        <w:br w:type="page"/>
      </w:r>
    </w:p>
    <w:p w14:paraId="110E0E36" w14:textId="77777777" w:rsidR="00166FB0" w:rsidRDefault="00166FB0" w:rsidP="00B81306">
      <w:pPr>
        <w:pStyle w:val="header1"/>
      </w:pPr>
      <w:bookmarkStart w:id="9" w:name="_Toc38622588"/>
      <w:r>
        <w:lastRenderedPageBreak/>
        <w:t>About Arts Access Victoria</w:t>
      </w:r>
      <w:bookmarkEnd w:id="9"/>
    </w:p>
    <w:p w14:paraId="6343F1A6" w14:textId="42DD6A44" w:rsidR="00166FB0" w:rsidRDefault="00166FB0" w:rsidP="00166FB0">
      <w:pPr>
        <w:pStyle w:val="body"/>
      </w:pPr>
      <w:r>
        <w:t>As the state’s leading arts and disability organisation, Arts Access Victoria (AAV) drives access and cultural participation across Victoria. For over 45 years, our sustainable inclusive practices have been dedicated to extending the cultural participation of Deaf and Disabled people as artists, arts workers and audiences.</w:t>
      </w:r>
    </w:p>
    <w:p w14:paraId="43429B9B" w14:textId="77777777" w:rsidR="00166FB0" w:rsidRDefault="00166FB0" w:rsidP="00166FB0">
      <w:pPr>
        <w:pStyle w:val="body"/>
      </w:pPr>
    </w:p>
    <w:p w14:paraId="02DF12B5" w14:textId="54338794" w:rsidR="00166FB0" w:rsidRDefault="00166FB0" w:rsidP="00166FB0">
      <w:pPr>
        <w:pStyle w:val="body"/>
      </w:pPr>
      <w:r>
        <w:t>We achieve this aim by meeting our three goals.</w:t>
      </w:r>
    </w:p>
    <w:p w14:paraId="72482154" w14:textId="77777777" w:rsidR="00166FB0" w:rsidRDefault="00166FB0" w:rsidP="00166FB0">
      <w:pPr>
        <w:pStyle w:val="body"/>
      </w:pPr>
    </w:p>
    <w:p w14:paraId="409A6ACF" w14:textId="0C1E3DEE" w:rsidR="00166FB0" w:rsidRDefault="00166FB0" w:rsidP="00166FB0">
      <w:pPr>
        <w:pStyle w:val="body"/>
      </w:pPr>
      <w:r>
        <w:t>Goal 1</w:t>
      </w:r>
    </w:p>
    <w:p w14:paraId="7F006A8D" w14:textId="77777777" w:rsidR="00166FB0" w:rsidRDefault="00166FB0" w:rsidP="00166FB0">
      <w:pPr>
        <w:pStyle w:val="body"/>
      </w:pPr>
      <w:r>
        <w:t>To produce and present artistic work made by and with Deaf and Disabled people that reflects best contemporary and inclusive arts practices.</w:t>
      </w:r>
    </w:p>
    <w:p w14:paraId="4E049DE1" w14:textId="77777777" w:rsidR="00166FB0" w:rsidRDefault="00166FB0" w:rsidP="00166FB0">
      <w:pPr>
        <w:pStyle w:val="body"/>
      </w:pPr>
    </w:p>
    <w:p w14:paraId="2229A7EB" w14:textId="06915707" w:rsidR="00166FB0" w:rsidRDefault="00166FB0" w:rsidP="00166FB0">
      <w:pPr>
        <w:pStyle w:val="body"/>
      </w:pPr>
      <w:r>
        <w:t>Goal 2</w:t>
      </w:r>
    </w:p>
    <w:p w14:paraId="331B9A6B" w14:textId="77777777" w:rsidR="00166FB0" w:rsidRDefault="00166FB0" w:rsidP="00166FB0">
      <w:pPr>
        <w:pStyle w:val="body"/>
      </w:pPr>
      <w:r>
        <w:t>To facilitate meaningful career pathways within the arts and cultural community for Deaf and Disabled artists.</w:t>
      </w:r>
    </w:p>
    <w:p w14:paraId="44FFCF9D" w14:textId="77777777" w:rsidR="00166FB0" w:rsidRDefault="00166FB0" w:rsidP="00166FB0">
      <w:pPr>
        <w:pStyle w:val="body"/>
      </w:pPr>
    </w:p>
    <w:p w14:paraId="24CCA496" w14:textId="587739E4" w:rsidR="00166FB0" w:rsidRDefault="00166FB0" w:rsidP="00166FB0">
      <w:pPr>
        <w:pStyle w:val="body"/>
      </w:pPr>
      <w:r>
        <w:t>Goal 3</w:t>
      </w:r>
    </w:p>
    <w:p w14:paraId="59D2CD35" w14:textId="77777777" w:rsidR="00166FB0" w:rsidRDefault="00166FB0" w:rsidP="00166FB0">
      <w:pPr>
        <w:pStyle w:val="body"/>
      </w:pPr>
      <w:r>
        <w:t>To transform the way the arts and cultural sector engages with Deaf and Disabled people, as both practitioners and audiences.</w:t>
      </w:r>
    </w:p>
    <w:p w14:paraId="0717455F" w14:textId="77777777" w:rsidR="00166FB0" w:rsidRDefault="00166FB0" w:rsidP="00166FB0">
      <w:pPr>
        <w:pStyle w:val="body"/>
      </w:pPr>
    </w:p>
    <w:p w14:paraId="7FA7DC88" w14:textId="70F4CD39" w:rsidR="00166FB0" w:rsidRDefault="00166FB0" w:rsidP="00166FB0">
      <w:pPr>
        <w:pStyle w:val="body"/>
      </w:pPr>
      <w:r>
        <w:t>AAV is a disability-led organisation since 2018. We are committed more than ever to raising the profile and visibility of the work of Deaf and Disabled artists. To create and hold space for their presence to be felt, acknowledged and embedded as innovators, influencers and internationally recognised artists and leaders.</w:t>
      </w:r>
    </w:p>
    <w:p w14:paraId="7A71E509" w14:textId="7E6C88AC" w:rsidR="00166FB0" w:rsidRDefault="00166FB0">
      <w:pPr>
        <w:rPr>
          <w:rFonts w:cstheme="minorHAnsi"/>
          <w:color w:val="2C2D35"/>
          <w:spacing w:val="-2"/>
          <w:sz w:val="28"/>
          <w:szCs w:val="28"/>
          <w:lang w:val="en-GB"/>
        </w:rPr>
      </w:pPr>
      <w:r>
        <w:br w:type="page"/>
      </w:r>
    </w:p>
    <w:p w14:paraId="1983ABDB" w14:textId="77777777" w:rsidR="00166FB0" w:rsidRDefault="00166FB0" w:rsidP="00B81306">
      <w:pPr>
        <w:pStyle w:val="header1"/>
      </w:pPr>
      <w:bookmarkStart w:id="10" w:name="_Toc38622589"/>
      <w:r>
        <w:lastRenderedPageBreak/>
        <w:t>Goal 1</w:t>
      </w:r>
      <w:bookmarkEnd w:id="10"/>
    </w:p>
    <w:p w14:paraId="6B64BB1C" w14:textId="77777777" w:rsidR="00166FB0" w:rsidRDefault="00166FB0" w:rsidP="00166FB0">
      <w:pPr>
        <w:pStyle w:val="header2"/>
      </w:pPr>
      <w:bookmarkStart w:id="11" w:name="_Toc38622590"/>
      <w:r>
        <w:t>To produce and present artistic work made by and with Deaf and Disabled people that reflects best contemporary and inclusive arts practices</w:t>
      </w:r>
      <w:bookmarkEnd w:id="11"/>
    </w:p>
    <w:p w14:paraId="126B171D" w14:textId="3C5DC7D1" w:rsidR="00166FB0" w:rsidRDefault="00166FB0" w:rsidP="00166FB0">
      <w:pPr>
        <w:pStyle w:val="body"/>
      </w:pPr>
    </w:p>
    <w:p w14:paraId="3162636A" w14:textId="77777777" w:rsidR="00166FB0" w:rsidRDefault="00166FB0" w:rsidP="00166FB0">
      <w:pPr>
        <w:pStyle w:val="header2"/>
      </w:pPr>
      <w:bookmarkStart w:id="12" w:name="_Toc38622591"/>
      <w:r>
        <w:t>Echo Collective</w:t>
      </w:r>
      <w:bookmarkEnd w:id="12"/>
    </w:p>
    <w:p w14:paraId="268CB5F9" w14:textId="77777777" w:rsidR="00166FB0" w:rsidRDefault="00166FB0" w:rsidP="00166FB0">
      <w:pPr>
        <w:pStyle w:val="body"/>
      </w:pPr>
      <w:r>
        <w:t>Echo Collective is an inclusive youth ensemble that focuses on project development and outcomes in the performing arts. The program brings young Deaf and Disabled people from culturally and linguistically diverse backgrounds together in their commitment and passion for artmaking and performing.</w:t>
      </w:r>
    </w:p>
    <w:p w14:paraId="7F2DCA79" w14:textId="77777777" w:rsidR="00166FB0" w:rsidRDefault="00166FB0" w:rsidP="00166FB0">
      <w:pPr>
        <w:pStyle w:val="body"/>
      </w:pPr>
    </w:p>
    <w:p w14:paraId="0CF8FB47" w14:textId="4EF081D1" w:rsidR="00166FB0" w:rsidRDefault="00166FB0" w:rsidP="00166FB0">
      <w:pPr>
        <w:pStyle w:val="body"/>
      </w:pPr>
      <w:r>
        <w:t>In 2019, Echo Collective was a successful applicant of a two-day project development for the Arts Centre Melbourne’s The Kiln,</w:t>
      </w:r>
      <w:r w:rsidR="00BE7B68">
        <w:t xml:space="preserve"> </w:t>
      </w:r>
      <w:r>
        <w:t xml:space="preserve">a program of discussions, masterclasses, networking events, forums and training for artists and arts workers. At the end of the two days, the ensemble </w:t>
      </w:r>
      <w:r w:rsidRPr="003F137F">
        <w:rPr>
          <w:b/>
          <w:bCs/>
        </w:rPr>
        <w:t>performed an improvisation comedy set called</w:t>
      </w:r>
      <w:r w:rsidR="00BE7B68" w:rsidRPr="003F137F">
        <w:rPr>
          <w:b/>
          <w:bCs/>
        </w:rPr>
        <w:t xml:space="preserve"> </w:t>
      </w:r>
      <w:r w:rsidRPr="003F137F">
        <w:rPr>
          <w:b/>
          <w:bCs/>
        </w:rPr>
        <w:t>Something Else.</w:t>
      </w:r>
      <w:r>
        <w:t xml:space="preserve"> There was much laughter in the audience and feedback was very positive.</w:t>
      </w:r>
    </w:p>
    <w:p w14:paraId="46CC8046" w14:textId="77777777" w:rsidR="00166FB0" w:rsidRDefault="00166FB0" w:rsidP="00166FB0">
      <w:pPr>
        <w:pStyle w:val="body"/>
      </w:pPr>
    </w:p>
    <w:p w14:paraId="2E61E116" w14:textId="77777777" w:rsidR="00166FB0" w:rsidRDefault="00166FB0" w:rsidP="00166FB0">
      <w:pPr>
        <w:pStyle w:val="body"/>
      </w:pPr>
      <w:r>
        <w:t xml:space="preserve">The opportunity to participate in The Kiln provided a different space and context in which the ensemble could develop the improv comedy skills they had been working on throughout the year. It also placed Echo Collective </w:t>
      </w:r>
      <w:r w:rsidRPr="003F137F">
        <w:rPr>
          <w:b/>
          <w:bCs/>
        </w:rPr>
        <w:t>in the heart of Melbourne’s theatre district and exposed their work to audiences and professionals associated with Arts Centre Melbourne.</w:t>
      </w:r>
    </w:p>
    <w:p w14:paraId="24C418CF" w14:textId="0A4128A2" w:rsidR="00166FB0" w:rsidRDefault="00166FB0" w:rsidP="00166FB0">
      <w:pPr>
        <w:pStyle w:val="body"/>
      </w:pPr>
    </w:p>
    <w:p w14:paraId="6FD2EE0D" w14:textId="77777777" w:rsidR="00166FB0" w:rsidRDefault="00166FB0" w:rsidP="00166FB0">
      <w:pPr>
        <w:pStyle w:val="header2"/>
      </w:pPr>
      <w:bookmarkStart w:id="13" w:name="_Toc38622592"/>
      <w:r>
        <w:t>Capturing the City</w:t>
      </w:r>
      <w:bookmarkEnd w:id="13"/>
    </w:p>
    <w:p w14:paraId="0A035DB0" w14:textId="491DDBB4" w:rsidR="00166FB0" w:rsidRDefault="00166FB0" w:rsidP="00166FB0">
      <w:pPr>
        <w:pStyle w:val="body"/>
      </w:pPr>
      <w:r>
        <w:t xml:space="preserve">2019 saw the initiation of a new partnership with a City of Melbourne’s program called ‘Signal’. High schools and tertiary institutions catering in disability were invited to participate in </w:t>
      </w:r>
      <w:r w:rsidRPr="003F137F">
        <w:rPr>
          <w:b/>
          <w:bCs/>
        </w:rPr>
        <w:t>an arts program tailored specifically for them</w:t>
      </w:r>
      <w:r>
        <w:t xml:space="preserve"> by an AAV creative team and hosted by Signal.</w:t>
      </w:r>
    </w:p>
    <w:p w14:paraId="00C07239" w14:textId="4CBDC0CC" w:rsidR="00166FB0" w:rsidRDefault="00166FB0" w:rsidP="00166FB0">
      <w:pPr>
        <w:pStyle w:val="body"/>
      </w:pPr>
      <w:r>
        <w:lastRenderedPageBreak/>
        <w:t xml:space="preserve">Signal is a creative studio for young people located on </w:t>
      </w:r>
      <w:proofErr w:type="spellStart"/>
      <w:r>
        <w:t>Northbank</w:t>
      </w:r>
      <w:proofErr w:type="spellEnd"/>
      <w:r>
        <w:t xml:space="preserve"> in the heart of Melbourne. The program offers young people the opportunity to work alongside professional artists in a collaborative way, through multi- artform workshops and mentoring.</w:t>
      </w:r>
    </w:p>
    <w:p w14:paraId="269A3EC2" w14:textId="06665A7E" w:rsidR="00166FB0" w:rsidRDefault="00166FB0" w:rsidP="00166FB0">
      <w:pPr>
        <w:pStyle w:val="body"/>
      </w:pPr>
    </w:p>
    <w:p w14:paraId="01CC8953" w14:textId="77777777" w:rsidR="00166FB0" w:rsidRDefault="00166FB0" w:rsidP="00166FB0">
      <w:pPr>
        <w:pStyle w:val="body"/>
      </w:pPr>
      <w:r>
        <w:t>The project brought students out beyond their immediate school environment, developing community and travel experience, as well as building their confidence. They engaged in weekly two-hour sessions, more than doubling the usual 45-minute class.</w:t>
      </w:r>
    </w:p>
    <w:p w14:paraId="1FAA483A" w14:textId="3CF4F72E" w:rsidR="00166FB0" w:rsidRDefault="00166FB0" w:rsidP="00166FB0">
      <w:pPr>
        <w:pStyle w:val="body"/>
      </w:pPr>
      <w:r>
        <w:t xml:space="preserve">More strikingly, the project challenged assumptions around </w:t>
      </w:r>
      <w:r w:rsidRPr="003F137F">
        <w:rPr>
          <w:b/>
          <w:bCs/>
        </w:rPr>
        <w:t>student ability</w:t>
      </w:r>
      <w:r>
        <w:t>.</w:t>
      </w:r>
    </w:p>
    <w:p w14:paraId="1CBB6D90" w14:textId="5D66FC96" w:rsidR="00166FB0" w:rsidRDefault="00166FB0" w:rsidP="00166FB0">
      <w:pPr>
        <w:pStyle w:val="body"/>
      </w:pPr>
    </w:p>
    <w:p w14:paraId="71CF5933" w14:textId="21A35F66" w:rsidR="00166FB0" w:rsidRDefault="00166FB0" w:rsidP="00166FB0">
      <w:pPr>
        <w:pStyle w:val="header2"/>
      </w:pPr>
      <w:bookmarkStart w:id="14" w:name="_Toc38622593"/>
      <w:r>
        <w:t>Way Out West</w:t>
      </w:r>
      <w:bookmarkEnd w:id="14"/>
    </w:p>
    <w:p w14:paraId="3A9DDB29" w14:textId="77777777" w:rsidR="00166FB0" w:rsidRDefault="00166FB0" w:rsidP="00166FB0">
      <w:pPr>
        <w:pStyle w:val="body"/>
      </w:pPr>
      <w:r>
        <w:t xml:space="preserve">Primarily working within the performing arts, the </w:t>
      </w:r>
      <w:proofErr w:type="gramStart"/>
      <w:r>
        <w:t>Way Out</w:t>
      </w:r>
      <w:proofErr w:type="gramEnd"/>
      <w:r>
        <w:t xml:space="preserve"> West artists work in collaboration to create and present all aspects of the production from performance and theatre to set design, music, video and lighting.</w:t>
      </w:r>
    </w:p>
    <w:p w14:paraId="54ED8172" w14:textId="77777777" w:rsidR="00166FB0" w:rsidRDefault="00166FB0" w:rsidP="00166FB0">
      <w:pPr>
        <w:pStyle w:val="body"/>
      </w:pPr>
    </w:p>
    <w:p w14:paraId="52F4E713" w14:textId="5F1D3D23" w:rsidR="00166FB0" w:rsidRDefault="00166FB0" w:rsidP="00166FB0">
      <w:pPr>
        <w:pStyle w:val="body"/>
      </w:pPr>
      <w:r>
        <w:t xml:space="preserve">In 2019, the </w:t>
      </w:r>
      <w:proofErr w:type="gramStart"/>
      <w:r>
        <w:t>Way Out</w:t>
      </w:r>
      <w:proofErr w:type="gramEnd"/>
      <w:r>
        <w:t xml:space="preserve"> West artists developed and presented the </w:t>
      </w:r>
      <w:r w:rsidRPr="003F137F">
        <w:rPr>
          <w:b/>
          <w:bCs/>
        </w:rPr>
        <w:t xml:space="preserve">performance </w:t>
      </w:r>
      <w:proofErr w:type="spellStart"/>
      <w:r w:rsidRPr="003F137F">
        <w:rPr>
          <w:b/>
          <w:bCs/>
        </w:rPr>
        <w:t>WOWalk</w:t>
      </w:r>
      <w:proofErr w:type="spellEnd"/>
      <w:r w:rsidRPr="003F137F">
        <w:rPr>
          <w:b/>
          <w:bCs/>
        </w:rPr>
        <w:t xml:space="preserve">: a fashion show to save the world as part of the Be Bold Festival. </w:t>
      </w:r>
      <w:r w:rsidRPr="003F137F">
        <w:t>The Be Bold Festival</w:t>
      </w:r>
      <w:r>
        <w:t xml:space="preserve"> was hosted at The Bowery Theatre – a new arts space in the heart of one of Melbourne’s cultural melting pots, St Albans. The festival featured 15 art and fashion exhibitions and events and brought professional artists together with community members of all ages</w:t>
      </w:r>
      <w:r w:rsidR="00BE7B68">
        <w:t>.</w:t>
      </w:r>
    </w:p>
    <w:p w14:paraId="7FBF612C" w14:textId="77777777" w:rsidR="00BE7B68" w:rsidRDefault="00BE7B68" w:rsidP="00166FB0">
      <w:pPr>
        <w:pStyle w:val="body"/>
      </w:pPr>
    </w:p>
    <w:p w14:paraId="7767893D" w14:textId="77777777" w:rsidR="00BE7B68" w:rsidRDefault="00BE7B68" w:rsidP="00BE7B68">
      <w:pPr>
        <w:pStyle w:val="body"/>
      </w:pPr>
      <w:proofErr w:type="spellStart"/>
      <w:r>
        <w:t>WOWalk</w:t>
      </w:r>
      <w:proofErr w:type="spellEnd"/>
      <w:r>
        <w:t xml:space="preserve">: a fashion show to save the world was a joint production between AAV, All </w:t>
      </w:r>
      <w:proofErr w:type="gramStart"/>
      <w:r>
        <w:t>The</w:t>
      </w:r>
      <w:proofErr w:type="gramEnd"/>
      <w:r>
        <w:t xml:space="preserve"> Queens Men and City of </w:t>
      </w:r>
      <w:proofErr w:type="spellStart"/>
      <w:r>
        <w:t>Brimbank</w:t>
      </w:r>
      <w:proofErr w:type="spellEnd"/>
      <w:r>
        <w:t>.</w:t>
      </w:r>
    </w:p>
    <w:p w14:paraId="272DB83F" w14:textId="4D69693A" w:rsidR="00BE7B68" w:rsidRDefault="00BE7B68" w:rsidP="00BE7B68">
      <w:pPr>
        <w:pStyle w:val="body"/>
      </w:pPr>
      <w:r>
        <w:t xml:space="preserve">The performance was a catwalk experience that focussed on the idea of fashion as transformation. The artists developed characters conjured from their imagination, mythology and popular culture. Utilising the catwalk as a space for improvisation and self- expression, the artists created an original mix of characters, fashion, performance, video and music that </w:t>
      </w:r>
      <w:r w:rsidRPr="003F137F">
        <w:rPr>
          <w:b/>
          <w:bCs/>
        </w:rPr>
        <w:t>celebrated diversity and pushed the boundaries of what is art and fashion.</w:t>
      </w:r>
    </w:p>
    <w:p w14:paraId="5FF6A904" w14:textId="14BEDB38" w:rsidR="00BE7B68" w:rsidRDefault="00BE7B68" w:rsidP="00BE7B68">
      <w:pPr>
        <w:pStyle w:val="body"/>
      </w:pPr>
    </w:p>
    <w:p w14:paraId="78ECA1DF" w14:textId="152BE0D4" w:rsidR="00BE7B68" w:rsidRDefault="00BE7B68" w:rsidP="00BE7B68">
      <w:pPr>
        <w:pStyle w:val="header2"/>
      </w:pPr>
      <w:bookmarkStart w:id="15" w:name="_Toc38622594"/>
      <w:r w:rsidRPr="00BE7B68">
        <w:lastRenderedPageBreak/>
        <w:t>SRS Studios</w:t>
      </w:r>
      <w:bookmarkEnd w:id="15"/>
    </w:p>
    <w:p w14:paraId="4D8686F5" w14:textId="3CE5DC7F" w:rsidR="00BE7B68" w:rsidRDefault="00BE7B68" w:rsidP="00BE7B68">
      <w:pPr>
        <w:pStyle w:val="body"/>
      </w:pPr>
      <w:r>
        <w:t xml:space="preserve">AAV operates </w:t>
      </w:r>
      <w:r w:rsidRPr="003F137F">
        <w:rPr>
          <w:b/>
          <w:bCs/>
        </w:rPr>
        <w:t>ten studios</w:t>
      </w:r>
      <w:r>
        <w:t xml:space="preserve"> in Supported Residential Services (SRS) across Melbourne. Our studios offer artists choice in how they make art, in what way they choose to make art and how they wish to develop as artists.</w:t>
      </w:r>
    </w:p>
    <w:p w14:paraId="5948BF97" w14:textId="77777777" w:rsidR="00BE7B68" w:rsidRDefault="00BE7B68" w:rsidP="00BE7B68">
      <w:pPr>
        <w:pStyle w:val="body"/>
      </w:pPr>
    </w:p>
    <w:p w14:paraId="4F5CD68B" w14:textId="0AC66D29" w:rsidR="00BE7B68" w:rsidRDefault="00BE7B68" w:rsidP="00BE7B68">
      <w:pPr>
        <w:pStyle w:val="body"/>
      </w:pPr>
      <w:r>
        <w:t xml:space="preserve">All ten studios had two major opportunities throughout 2019 to present their work publicly and to admire each other’s work. As part of </w:t>
      </w:r>
      <w:r w:rsidRPr="003F137F">
        <w:rPr>
          <w:b/>
          <w:bCs/>
        </w:rPr>
        <w:t>West Projections</w:t>
      </w:r>
      <w:r>
        <w:t>, an intimate place-based community projection festival, artists from two studios created artwork in response to the theme ‘home’ that was projected in the streets of Seddon over ten nights.</w:t>
      </w:r>
    </w:p>
    <w:p w14:paraId="79566A8C" w14:textId="034286F5" w:rsidR="00BE7B68" w:rsidRDefault="00BE7B68" w:rsidP="00BE7B68">
      <w:pPr>
        <w:pStyle w:val="body"/>
      </w:pPr>
    </w:p>
    <w:p w14:paraId="2A400F7D" w14:textId="31B54C5C" w:rsidR="00BE7B68" w:rsidRDefault="00BE7B68" w:rsidP="00BE7B68">
      <w:pPr>
        <w:pStyle w:val="body"/>
      </w:pPr>
      <w:r w:rsidRPr="00BE7B68">
        <w:t xml:space="preserve">The </w:t>
      </w:r>
      <w:r w:rsidRPr="003F137F">
        <w:rPr>
          <w:b/>
          <w:bCs/>
        </w:rPr>
        <w:t>Visible/Invisible project</w:t>
      </w:r>
      <w:r w:rsidRPr="00BE7B68">
        <w:t>, in partnership with City of Moreland, involved over 60 artists from all ten studios. Aimed to raise awareness of invisible disability through artistic expression, the artists used a variety of artforms to respond to the theme ‘visible/ invisible’. The artworks were displayed in public spaces throughout Moreland over three weeks.</w:t>
      </w:r>
    </w:p>
    <w:p w14:paraId="133F42C9" w14:textId="77777777" w:rsidR="00BE7B68" w:rsidRDefault="00BE7B68">
      <w:pPr>
        <w:rPr>
          <w:rFonts w:cstheme="minorHAnsi"/>
          <w:color w:val="2C2D35"/>
          <w:spacing w:val="-2"/>
          <w:sz w:val="28"/>
          <w:szCs w:val="28"/>
          <w:lang w:val="en-GB"/>
        </w:rPr>
      </w:pPr>
      <w:r>
        <w:br w:type="page"/>
      </w:r>
    </w:p>
    <w:p w14:paraId="10C748E5" w14:textId="77777777" w:rsidR="00BE7B68" w:rsidRDefault="00BE7B68" w:rsidP="00B81306">
      <w:pPr>
        <w:pStyle w:val="header1"/>
      </w:pPr>
      <w:bookmarkStart w:id="16" w:name="_Toc38622595"/>
      <w:r>
        <w:lastRenderedPageBreak/>
        <w:t>Goal 2</w:t>
      </w:r>
      <w:bookmarkEnd w:id="16"/>
    </w:p>
    <w:p w14:paraId="66E9F952" w14:textId="10E4DCF8" w:rsidR="00BE7B68" w:rsidRDefault="00BE7B68" w:rsidP="00BE7B68">
      <w:pPr>
        <w:pStyle w:val="header2"/>
      </w:pPr>
      <w:bookmarkStart w:id="17" w:name="_Toc38622596"/>
      <w:r>
        <w:t xml:space="preserve">To </w:t>
      </w:r>
      <w:proofErr w:type="gramStart"/>
      <w:r>
        <w:t>facilitate</w:t>
      </w:r>
      <w:proofErr w:type="gramEnd"/>
      <w:r>
        <w:t xml:space="preserve"> meaningful career pathways within the arts and cultural community for Deaf and Disabled artists</w:t>
      </w:r>
      <w:bookmarkEnd w:id="17"/>
    </w:p>
    <w:p w14:paraId="36FDC8F9" w14:textId="77777777" w:rsidR="00BE7B68" w:rsidRDefault="00BE7B68" w:rsidP="00BE7B68">
      <w:pPr>
        <w:pStyle w:val="body"/>
      </w:pPr>
    </w:p>
    <w:p w14:paraId="390EA96A" w14:textId="77777777" w:rsidR="00BE7B68" w:rsidRDefault="00BE7B68" w:rsidP="00BE7B68">
      <w:pPr>
        <w:pStyle w:val="header2"/>
      </w:pPr>
      <w:bookmarkStart w:id="18" w:name="_Toc38622597"/>
      <w:r>
        <w:t>Mentoring</w:t>
      </w:r>
      <w:bookmarkEnd w:id="18"/>
    </w:p>
    <w:p w14:paraId="02860D32" w14:textId="77777777" w:rsidR="00BE7B68" w:rsidRDefault="00BE7B68" w:rsidP="00BE7B68">
      <w:pPr>
        <w:pStyle w:val="body"/>
      </w:pPr>
      <w:r>
        <w:t xml:space="preserve">The Artist Engagement pilot program was rolled out over 2019 and </w:t>
      </w:r>
      <w:r w:rsidRPr="003F137F">
        <w:rPr>
          <w:b/>
          <w:bCs/>
        </w:rPr>
        <w:t>85 artists</w:t>
      </w:r>
      <w:r>
        <w:t xml:space="preserve"> engaged with us through this program, including mentoring, </w:t>
      </w:r>
      <w:proofErr w:type="spellStart"/>
      <w:r>
        <w:t>auspicing</w:t>
      </w:r>
      <w:proofErr w:type="spellEnd"/>
      <w:r>
        <w:t>, training and skills sharing, artist networking and information sessions, curated exhibitions, awards</w:t>
      </w:r>
    </w:p>
    <w:p w14:paraId="6BB4E7CA" w14:textId="77777777" w:rsidR="00BE7B68" w:rsidRDefault="00BE7B68" w:rsidP="00BE7B68">
      <w:pPr>
        <w:pStyle w:val="body"/>
      </w:pPr>
      <w:r>
        <w:t>and scholarships.</w:t>
      </w:r>
    </w:p>
    <w:p w14:paraId="162D2C2B" w14:textId="77777777" w:rsidR="00BE7B68" w:rsidRDefault="00BE7B68" w:rsidP="00BE7B68">
      <w:pPr>
        <w:pStyle w:val="body"/>
      </w:pPr>
    </w:p>
    <w:p w14:paraId="4D863BEA" w14:textId="6554F6A5" w:rsidR="00BE7B68" w:rsidRDefault="00BE7B68" w:rsidP="00BE7B68">
      <w:pPr>
        <w:pStyle w:val="body"/>
      </w:pPr>
      <w:r>
        <w:t xml:space="preserve">AAV is especially pleased to see a significant </w:t>
      </w:r>
      <w:r w:rsidRPr="003F137F">
        <w:rPr>
          <w:b/>
          <w:bCs/>
        </w:rPr>
        <w:t xml:space="preserve">increase in the demand of one-on-one mentoring sessions through the NDIS </w:t>
      </w:r>
      <w:r>
        <w:t>and will focus on focus on expanding the mentoring program in 2020.</w:t>
      </w:r>
    </w:p>
    <w:p w14:paraId="078713A7" w14:textId="77777777" w:rsidR="00BE7B68" w:rsidRDefault="00BE7B68" w:rsidP="00BE7B68">
      <w:pPr>
        <w:pStyle w:val="body"/>
      </w:pPr>
    </w:p>
    <w:p w14:paraId="2F730699" w14:textId="01D862DA" w:rsidR="00BE7B68" w:rsidRDefault="00BE7B68" w:rsidP="00BE7B68">
      <w:pPr>
        <w:pStyle w:val="header2"/>
      </w:pPr>
      <w:bookmarkStart w:id="19" w:name="_Toc38622598"/>
      <w:r w:rsidRPr="00BE7B68">
        <w:t>Artist in focus</w:t>
      </w:r>
      <w:bookmarkEnd w:id="19"/>
    </w:p>
    <w:p w14:paraId="76E40C72" w14:textId="697BAEE9" w:rsidR="00BE7B68" w:rsidRDefault="00BE7B68" w:rsidP="00BE7B68">
      <w:pPr>
        <w:pStyle w:val="body"/>
      </w:pPr>
      <w:r>
        <w:t xml:space="preserve">Adam </w:t>
      </w:r>
      <w:proofErr w:type="spellStart"/>
      <w:r>
        <w:t>Knapper</w:t>
      </w:r>
      <w:proofErr w:type="spellEnd"/>
      <w:r>
        <w:t xml:space="preserve"> is a visual artist who uses painting and drawing to unravel the complexities of the human experience. Adam has been making art since 1988 but </w:t>
      </w:r>
      <w:proofErr w:type="gramStart"/>
      <w:r>
        <w:t>didn’t</w:t>
      </w:r>
      <w:proofErr w:type="gramEnd"/>
      <w:r>
        <w:t xml:space="preserve"> start taking it seriously until about 15 years ago. He is now a founding member of the Nimbus studio, an AAV arts program based in Nebula at </w:t>
      </w:r>
      <w:proofErr w:type="spellStart"/>
      <w:r>
        <w:t>Bundoora</w:t>
      </w:r>
      <w:proofErr w:type="spellEnd"/>
      <w:r>
        <w:t xml:space="preserve"> Homestead Art Centre, as well as a mentee of AAV’s mentoring program through his NDIS plan.</w:t>
      </w:r>
    </w:p>
    <w:p w14:paraId="084B1FE4" w14:textId="77777777" w:rsidR="00BE7B68" w:rsidRDefault="00BE7B68" w:rsidP="00BE7B68">
      <w:pPr>
        <w:pStyle w:val="body"/>
      </w:pPr>
    </w:p>
    <w:p w14:paraId="540765B1" w14:textId="48F208DF" w:rsidR="00BE7B68" w:rsidRDefault="00BE7B68" w:rsidP="00BE7B68">
      <w:pPr>
        <w:pStyle w:val="body"/>
      </w:pPr>
      <w:r w:rsidRPr="00BE7B68">
        <w:t>When asked about the most significant aspect of the Nimbus studio, Adam said “I think it would have to be the benefit of practising art on a weekly basis, to develop ideas and concepts in sketchbooks, and to do it with like-minded people – I think that’s important too.”</w:t>
      </w:r>
    </w:p>
    <w:p w14:paraId="0C0826F5" w14:textId="77777777" w:rsidR="00BE7B68" w:rsidRDefault="00BE7B68" w:rsidP="00BE7B68">
      <w:pPr>
        <w:pStyle w:val="body"/>
      </w:pPr>
    </w:p>
    <w:p w14:paraId="6C7BE7DA" w14:textId="28F55C03" w:rsidR="00BE7B68" w:rsidRDefault="00BE7B68" w:rsidP="00BE7B68">
      <w:pPr>
        <w:pStyle w:val="body"/>
      </w:pPr>
      <w:r w:rsidRPr="00BE7B68">
        <w:t xml:space="preserve">In 2019, he exhibited widely across Melbourne and was represented in </w:t>
      </w:r>
      <w:proofErr w:type="gramStart"/>
      <w:r w:rsidRPr="00BE7B68">
        <w:t>a number of</w:t>
      </w:r>
      <w:proofErr w:type="gramEnd"/>
      <w:r w:rsidRPr="00BE7B68">
        <w:t xml:space="preserve"> public and private collections, all of which have raised his profile. He has also been the recipient of numerous awards and has already opened exhibitions in 2020.</w:t>
      </w:r>
    </w:p>
    <w:p w14:paraId="67D7AED0" w14:textId="585A4597" w:rsidR="00BE7B68" w:rsidRDefault="00BE7B68" w:rsidP="00BE7B68">
      <w:pPr>
        <w:pStyle w:val="body"/>
      </w:pPr>
    </w:p>
    <w:p w14:paraId="1A2C9E81" w14:textId="7FCACC37" w:rsidR="00BE7B68" w:rsidRDefault="00BE7B68" w:rsidP="00BE7B68">
      <w:pPr>
        <w:pStyle w:val="body"/>
      </w:pPr>
      <w:r w:rsidRPr="00BE7B68">
        <w:t xml:space="preserve">When asked about his </w:t>
      </w:r>
      <w:proofErr w:type="gramStart"/>
      <w:r w:rsidRPr="00BE7B68">
        <w:t>future plans</w:t>
      </w:r>
      <w:proofErr w:type="gramEnd"/>
      <w:r w:rsidRPr="00BE7B68">
        <w:t xml:space="preserve"> for his individual practice, Adam said “There are many projects I’m thinking about this year. [My mentor] Geoff and I will be working towards group exhibitions; </w:t>
      </w:r>
      <w:proofErr w:type="gramStart"/>
      <w:r w:rsidRPr="00BE7B68">
        <w:t>I’ll</w:t>
      </w:r>
      <w:proofErr w:type="gramEnd"/>
      <w:r w:rsidRPr="00BE7B68">
        <w:t xml:space="preserve"> be developing a body of work for a solo show in the coming year or two and getting involved with a mural project at a local library. </w:t>
      </w:r>
      <w:proofErr w:type="gramStart"/>
      <w:r w:rsidRPr="00BE7B68">
        <w:t>There’s</w:t>
      </w:r>
      <w:proofErr w:type="gramEnd"/>
      <w:r w:rsidRPr="00BE7B68">
        <w:t xml:space="preserve"> also the Melbourne art trams, where artists get an opportunity to put a template up and if you’re lucky, you have your work displayed on a tram for a year. There’s certainly a lot of competition there, but those are some of the projects I hope to be working on this year.”</w:t>
      </w:r>
    </w:p>
    <w:p w14:paraId="22094F05" w14:textId="5A29422A" w:rsidR="00BE7B68" w:rsidRDefault="00BE7B68" w:rsidP="00BE7B68">
      <w:pPr>
        <w:pStyle w:val="body"/>
      </w:pPr>
    </w:p>
    <w:p w14:paraId="4FC0DF39" w14:textId="77777777" w:rsidR="00BE7B68" w:rsidRDefault="00BE7B68" w:rsidP="00BE7B68">
      <w:pPr>
        <w:pStyle w:val="header2"/>
      </w:pPr>
      <w:bookmarkStart w:id="20" w:name="_Toc38622599"/>
      <w:r>
        <w:t>Nexus Youth</w:t>
      </w:r>
      <w:bookmarkEnd w:id="20"/>
    </w:p>
    <w:p w14:paraId="35407B67" w14:textId="5F16B682" w:rsidR="00BE7B68" w:rsidRPr="003F137F" w:rsidRDefault="00BE7B68" w:rsidP="00BE7B68">
      <w:pPr>
        <w:pStyle w:val="body"/>
        <w:rPr>
          <w:b/>
          <w:bCs/>
        </w:rPr>
      </w:pPr>
      <w:r>
        <w:t xml:space="preserve">Nexus Youth is an eight-week professional development program for young Deaf and Disabled artists. The workshops focussed on developing each artist’s personal skills and confidence in the arts industry, identifying individual goals and building on vocational experiences. As each week progressed, the artists grew in confidence and self-awareness of their rights and capabilities </w:t>
      </w:r>
      <w:r w:rsidRPr="6D72FE1E">
        <w:rPr>
          <w:b/>
          <w:bCs/>
        </w:rPr>
        <w:t>to access the arts community and contribute wholly to society.</w:t>
      </w:r>
    </w:p>
    <w:p w14:paraId="05CAF544" w14:textId="77777777" w:rsidR="00BE7B68" w:rsidRDefault="00BE7B68" w:rsidP="00BE7B68">
      <w:pPr>
        <w:pStyle w:val="body"/>
      </w:pPr>
    </w:p>
    <w:p w14:paraId="562FD2D2" w14:textId="77777777" w:rsidR="00BE7B68" w:rsidRDefault="00BE7B68" w:rsidP="00BE7B68">
      <w:pPr>
        <w:pStyle w:val="body"/>
      </w:pPr>
      <w:r>
        <w:t xml:space="preserve">“The [Nexus Youth] program built confidence in my abilities as an artist and mental health advocate, and spurred my involvement in community projects I previously didn’t feel ‘qualified’ or ‘adequate’ enough to pursue,” said Nexus Youth participant Romy </w:t>
      </w:r>
      <w:proofErr w:type="spellStart"/>
      <w:r>
        <w:t>Durrant</w:t>
      </w:r>
      <w:proofErr w:type="spellEnd"/>
      <w:r>
        <w:t xml:space="preserve"> in an article for SBS Life.</w:t>
      </w:r>
    </w:p>
    <w:p w14:paraId="03B7A712" w14:textId="77777777" w:rsidR="00BE7B68" w:rsidRDefault="00BE7B68" w:rsidP="00BE7B68">
      <w:pPr>
        <w:pStyle w:val="body"/>
      </w:pPr>
    </w:p>
    <w:p w14:paraId="7BDC2CCE" w14:textId="4D4975A0" w:rsidR="00BE7B68" w:rsidRDefault="00BE7B68" w:rsidP="00BE7B68">
      <w:pPr>
        <w:pStyle w:val="body"/>
      </w:pPr>
      <w:r>
        <w:t xml:space="preserve">The program aims to motivate young Disabled people to feel enabled to pursue an equitable career in the arts, and it fosters </w:t>
      </w:r>
      <w:r w:rsidRPr="003F137F">
        <w:rPr>
          <w:b/>
          <w:bCs/>
        </w:rPr>
        <w:t>real connections between the artists and some  of Melbourne’s leading inclusive cultural arts organisations</w:t>
      </w:r>
      <w:r>
        <w:t>, including Melbourne Fringe, Emerging Writers Festival, DAX Centre and Multicultural Arts Victoria. It is important that young people feel empowered to trust their voice in society and value their lived experience expertise.</w:t>
      </w:r>
    </w:p>
    <w:p w14:paraId="163257AA" w14:textId="2459D4C0" w:rsidR="00BE7B68" w:rsidRDefault="00BE7B68" w:rsidP="00BE7B68">
      <w:pPr>
        <w:pStyle w:val="body"/>
      </w:pPr>
    </w:p>
    <w:p w14:paraId="4CDE713F" w14:textId="77777777" w:rsidR="00BE7B68" w:rsidRDefault="00BE7B68" w:rsidP="00BE7B68">
      <w:pPr>
        <w:pStyle w:val="header2"/>
      </w:pPr>
      <w:bookmarkStart w:id="21" w:name="_Toc38622600"/>
      <w:r>
        <w:lastRenderedPageBreak/>
        <w:t>Curated Exhibitions</w:t>
      </w:r>
      <w:bookmarkEnd w:id="21"/>
    </w:p>
    <w:p w14:paraId="0CAB5302" w14:textId="77777777" w:rsidR="00BE7B68" w:rsidRDefault="00BE7B68" w:rsidP="00BE7B68">
      <w:pPr>
        <w:pStyle w:val="body"/>
      </w:pPr>
      <w:r>
        <w:t xml:space="preserve">AAV’s exhibition program grew considerably over 2019. Through this expanded exhibition program, AAV facilitated </w:t>
      </w:r>
      <w:r w:rsidRPr="003F137F">
        <w:rPr>
          <w:b/>
          <w:bCs/>
        </w:rPr>
        <w:t>30 artists</w:t>
      </w:r>
      <w:r>
        <w:t xml:space="preserve"> to exhibit their work professionally throughout 2019, a number of these artists </w:t>
      </w:r>
      <w:r w:rsidRPr="003F137F">
        <w:rPr>
          <w:b/>
          <w:bCs/>
        </w:rPr>
        <w:t>showing their work publicly for the first time</w:t>
      </w:r>
      <w:r>
        <w:t>.</w:t>
      </w:r>
    </w:p>
    <w:p w14:paraId="239C3464" w14:textId="77777777" w:rsidR="00BE7B68" w:rsidRDefault="00BE7B68" w:rsidP="00BE7B68">
      <w:pPr>
        <w:pStyle w:val="body"/>
      </w:pPr>
    </w:p>
    <w:p w14:paraId="3A92B0CD" w14:textId="77777777" w:rsidR="00BE7B68" w:rsidRDefault="00BE7B68" w:rsidP="00BE7B68">
      <w:pPr>
        <w:pStyle w:val="body"/>
      </w:pPr>
      <w:r>
        <w:t>A significant new joint venture with the Dax Centre, Formation, provided a fantastic new avenue for expression by visual artists with mental health lived experience. This initial collaboration has already facilitated other creative outlets for AAV supported artists, including residencies and performances for 2020.</w:t>
      </w:r>
    </w:p>
    <w:p w14:paraId="28958576" w14:textId="77777777" w:rsidR="00BE7B68" w:rsidRDefault="00BE7B68" w:rsidP="00BE7B68">
      <w:pPr>
        <w:pStyle w:val="body"/>
      </w:pPr>
    </w:p>
    <w:p w14:paraId="254381E0" w14:textId="209B4CF6" w:rsidR="00BE7B68" w:rsidRDefault="00BE7B68" w:rsidP="00BE7B68">
      <w:pPr>
        <w:pStyle w:val="body"/>
      </w:pPr>
      <w:r>
        <w:t xml:space="preserve">Another major exhibition, Axiom, celebrated International Day for People with Disability through a partnership between AAV, </w:t>
      </w:r>
      <w:proofErr w:type="spellStart"/>
      <w:r>
        <w:t>Footscray</w:t>
      </w:r>
      <w:proofErr w:type="spellEnd"/>
      <w:r>
        <w:t xml:space="preserve"> Community Arts Centre and Brotherhood of St Laurence. 50 artists, including 20 supported by AAV, exhibited their work for five days at </w:t>
      </w:r>
      <w:proofErr w:type="spellStart"/>
      <w:r>
        <w:t>SpACE@Collins</w:t>
      </w:r>
      <w:proofErr w:type="spellEnd"/>
      <w:r>
        <w:t>, an accessible and contemporary space in the heart of Melbourne’s CBD.</w:t>
      </w:r>
    </w:p>
    <w:p w14:paraId="00E44EA4" w14:textId="77777777" w:rsidR="00BE7B68" w:rsidRDefault="00BE7B68">
      <w:pPr>
        <w:rPr>
          <w:rFonts w:cstheme="minorHAnsi"/>
          <w:color w:val="2C2D35"/>
          <w:spacing w:val="-2"/>
          <w:sz w:val="28"/>
          <w:szCs w:val="28"/>
          <w:lang w:val="en-GB"/>
        </w:rPr>
      </w:pPr>
      <w:r>
        <w:br w:type="page"/>
      </w:r>
    </w:p>
    <w:p w14:paraId="2C4594BA" w14:textId="77777777" w:rsidR="00BE7B68" w:rsidRDefault="00BE7B68" w:rsidP="00B81306">
      <w:pPr>
        <w:pStyle w:val="header1"/>
      </w:pPr>
      <w:bookmarkStart w:id="22" w:name="_Toc38622601"/>
      <w:r>
        <w:lastRenderedPageBreak/>
        <w:t>Goal 3</w:t>
      </w:r>
      <w:bookmarkEnd w:id="22"/>
      <w:r>
        <w:tab/>
      </w:r>
    </w:p>
    <w:p w14:paraId="1DD21C7B" w14:textId="1955CBDF" w:rsidR="00BE7B68" w:rsidRDefault="00BE7B68" w:rsidP="00BE7B68">
      <w:pPr>
        <w:pStyle w:val="header2"/>
      </w:pPr>
      <w:bookmarkStart w:id="23" w:name="_Toc38622602"/>
      <w:r>
        <w:t>To transform the way the arts and cultural sector engages with Deaf and Disabled people, as practitioners and audiences</w:t>
      </w:r>
      <w:bookmarkEnd w:id="23"/>
    </w:p>
    <w:p w14:paraId="0B7AF834" w14:textId="77777777" w:rsidR="00BE7B68" w:rsidRDefault="00BE7B68" w:rsidP="00BE7B68">
      <w:pPr>
        <w:pStyle w:val="header2"/>
      </w:pPr>
    </w:p>
    <w:p w14:paraId="178965B5" w14:textId="77777777" w:rsidR="00BE7B68" w:rsidRDefault="00BE7B68" w:rsidP="00BE7B68">
      <w:pPr>
        <w:pStyle w:val="header2"/>
      </w:pPr>
      <w:bookmarkStart w:id="24" w:name="_Toc38622603"/>
      <w:r>
        <w:t>Arts and Cultural Sector Development</w:t>
      </w:r>
      <w:bookmarkEnd w:id="24"/>
    </w:p>
    <w:p w14:paraId="0D0F9A0A" w14:textId="77777777" w:rsidR="00BE7B68" w:rsidRDefault="00BE7B68" w:rsidP="00BE7B68">
      <w:pPr>
        <w:pStyle w:val="body"/>
      </w:pPr>
      <w:r>
        <w:t xml:space="preserve">In 2019, AAV delivered </w:t>
      </w:r>
      <w:r w:rsidRPr="003F137F">
        <w:rPr>
          <w:b/>
          <w:bCs/>
        </w:rPr>
        <w:t>disability equality training workshops</w:t>
      </w:r>
      <w:r>
        <w:t xml:space="preserve"> </w:t>
      </w:r>
      <w:r w:rsidRPr="003F137F">
        <w:t xml:space="preserve">and </w:t>
      </w:r>
      <w:r w:rsidRPr="003F137F">
        <w:rPr>
          <w:b/>
          <w:bCs/>
        </w:rPr>
        <w:t>access consultations</w:t>
      </w:r>
      <w:r>
        <w:t xml:space="preserve"> to more than </w:t>
      </w:r>
      <w:r w:rsidRPr="003F137F">
        <w:rPr>
          <w:b/>
          <w:bCs/>
        </w:rPr>
        <w:t>75 arts and cultural organisations and individuals</w:t>
      </w:r>
      <w:r>
        <w:t>.</w:t>
      </w:r>
    </w:p>
    <w:p w14:paraId="2A951779" w14:textId="77777777" w:rsidR="00BE7B68" w:rsidRDefault="00BE7B68" w:rsidP="00BE7B68">
      <w:pPr>
        <w:pStyle w:val="body"/>
      </w:pPr>
    </w:p>
    <w:p w14:paraId="34B24C62" w14:textId="77777777" w:rsidR="00BE7B68" w:rsidRDefault="00BE7B68" w:rsidP="00BE7B68">
      <w:pPr>
        <w:pStyle w:val="body"/>
      </w:pPr>
      <w:r>
        <w:t>With over 45 years’ expertise, we provide tailored audits and training to help organisations achieve real access and inclusion for Deaf and Disabled people as artists and audiences.</w:t>
      </w:r>
    </w:p>
    <w:p w14:paraId="372913C2" w14:textId="77777777" w:rsidR="00BE7B68" w:rsidRDefault="00BE7B68" w:rsidP="00BE7B68">
      <w:pPr>
        <w:pStyle w:val="body"/>
      </w:pPr>
      <w:r>
        <w:t>Our disability-led training workshops equip staff, from frontline customer service to executive leaders, with the skills to engage confidently with Deaf and Disabled people, and the tools to create environments of equality and authentic representation.</w:t>
      </w:r>
    </w:p>
    <w:p w14:paraId="3DE7D03E" w14:textId="77777777" w:rsidR="00BE7B68" w:rsidRDefault="00BE7B68" w:rsidP="00BE7B68">
      <w:pPr>
        <w:pStyle w:val="body"/>
      </w:pPr>
    </w:p>
    <w:p w14:paraId="036C7C5F" w14:textId="201591D8" w:rsidR="00BE7B68" w:rsidRDefault="00BE7B68" w:rsidP="00BE7B68">
      <w:pPr>
        <w:pStyle w:val="body"/>
      </w:pPr>
      <w:r>
        <w:t>AAV’s systems and culture are underpinned by continuous improvement, and we are excited to be reviewing and revamping our cutting-edge training and consultation services that will be launched in 2020.</w:t>
      </w:r>
    </w:p>
    <w:p w14:paraId="7688CA8E" w14:textId="77777777" w:rsidR="00BE7B68" w:rsidRDefault="00BE7B68" w:rsidP="00BE7B68">
      <w:pPr>
        <w:pStyle w:val="body"/>
      </w:pPr>
    </w:p>
    <w:p w14:paraId="246650EC" w14:textId="77777777" w:rsidR="00BE7B68" w:rsidRDefault="00BE7B68" w:rsidP="00BE7B68">
      <w:pPr>
        <w:pStyle w:val="header2"/>
      </w:pPr>
      <w:bookmarkStart w:id="25" w:name="_Toc38622604"/>
      <w:r>
        <w:t>National Gallery of Victoria</w:t>
      </w:r>
      <w:bookmarkEnd w:id="25"/>
    </w:p>
    <w:p w14:paraId="043B44BB" w14:textId="77777777" w:rsidR="00BE7B68" w:rsidRDefault="00BE7B68" w:rsidP="00BE7B68">
      <w:pPr>
        <w:pStyle w:val="body"/>
      </w:pPr>
      <w:r>
        <w:t>During 2019, AAV delivered disability equality training workshops for National Gallery of Victoria (NGV) staff, which included personnel from Public Programs, Audience Development, Education and Corporate Partnerships departments. The skills and tools acquired through these training sessions empowered staff to initiate a much-needed change at one of the largest arts institutions in Melbourne.</w:t>
      </w:r>
    </w:p>
    <w:p w14:paraId="70C868FC" w14:textId="77777777" w:rsidR="00BE7B68" w:rsidRDefault="00BE7B68" w:rsidP="00BE7B68">
      <w:pPr>
        <w:pStyle w:val="body"/>
      </w:pPr>
    </w:p>
    <w:p w14:paraId="7589CD63" w14:textId="1057C38E" w:rsidR="00BE7B68" w:rsidRDefault="00BE7B68" w:rsidP="00BE7B68">
      <w:pPr>
        <w:pStyle w:val="body"/>
      </w:pPr>
      <w:r>
        <w:t xml:space="preserve">By engaging with NGV staff through disability equality training workshops, we created an open dialogue about messaging and impact, which has now turned into an ongoing </w:t>
      </w:r>
      <w:r>
        <w:lastRenderedPageBreak/>
        <w:t>partnership. NGV not only recognised that external training was required, but also engaged AAV as experts on access and inclusion to perform a consultation</w:t>
      </w:r>
    </w:p>
    <w:p w14:paraId="0874F7E2" w14:textId="77777777" w:rsidR="00BE7B68" w:rsidRDefault="00BE7B68" w:rsidP="00BE7B68">
      <w:pPr>
        <w:pStyle w:val="body"/>
      </w:pPr>
      <w:r>
        <w:t>This led to changing the relaxed morning invitation from something which was just ‘ticking boxes’, into a meaningful engagement with the disability community. This change in thinking has provided a new opportunity for Deaf and Disabled people to engage with art and feel welcome at the NGV.</w:t>
      </w:r>
    </w:p>
    <w:p w14:paraId="0A565426" w14:textId="77777777" w:rsidR="00BE7B68" w:rsidRDefault="00BE7B68" w:rsidP="00BE7B68">
      <w:pPr>
        <w:pStyle w:val="body"/>
      </w:pPr>
    </w:p>
    <w:p w14:paraId="2CE6EE61" w14:textId="77777777" w:rsidR="00BE7B68" w:rsidRPr="003F137F" w:rsidRDefault="00BE7B68" w:rsidP="00BE7B68">
      <w:pPr>
        <w:pStyle w:val="body"/>
        <w:rPr>
          <w:b/>
          <w:bCs/>
        </w:rPr>
      </w:pPr>
      <w:r w:rsidRPr="003F137F">
        <w:rPr>
          <w:b/>
          <w:bCs/>
        </w:rPr>
        <w:t xml:space="preserve">“It’s about them realising that every individual has a part to play. </w:t>
      </w:r>
      <w:proofErr w:type="gramStart"/>
      <w:r w:rsidRPr="003F137F">
        <w:rPr>
          <w:b/>
          <w:bCs/>
        </w:rPr>
        <w:t>It’s</w:t>
      </w:r>
      <w:proofErr w:type="gramEnd"/>
      <w:r w:rsidRPr="003F137F">
        <w:rPr>
          <w:b/>
          <w:bCs/>
        </w:rPr>
        <w:t xml:space="preserve"> not just up to the CEOs, executives and marketing team, but all staff at the NGV have the power to effect immediate change. They’re moving away from the idea of creating programs specifically to people with disability, but rather programs that are as accessible as possible for everyone.”</w:t>
      </w:r>
    </w:p>
    <w:p w14:paraId="11F5CE18" w14:textId="3F8EF952" w:rsidR="00BE7B68" w:rsidRPr="003F137F" w:rsidRDefault="00BE7B68" w:rsidP="003F137F">
      <w:pPr>
        <w:pStyle w:val="body"/>
        <w:numPr>
          <w:ilvl w:val="0"/>
          <w:numId w:val="7"/>
        </w:numPr>
        <w:rPr>
          <w:b/>
          <w:bCs/>
        </w:rPr>
      </w:pPr>
      <w:r w:rsidRPr="003F137F">
        <w:rPr>
          <w:b/>
          <w:bCs/>
        </w:rPr>
        <w:t xml:space="preserve"> Leisa Prowd, Disability Equality Training Facilitator</w:t>
      </w:r>
    </w:p>
    <w:p w14:paraId="6AFFA5E3" w14:textId="6C8BF344" w:rsidR="003F137F" w:rsidRDefault="003F137F" w:rsidP="003F137F">
      <w:pPr>
        <w:pStyle w:val="body"/>
      </w:pPr>
    </w:p>
    <w:p w14:paraId="5F9A13EE" w14:textId="77777777" w:rsidR="003F137F" w:rsidRDefault="003F137F" w:rsidP="003F137F">
      <w:pPr>
        <w:pStyle w:val="header2"/>
      </w:pPr>
      <w:bookmarkStart w:id="26" w:name="_Toc38622605"/>
      <w:r>
        <w:t>Choose Art – Australia’s Accessible Arts Directory</w:t>
      </w:r>
      <w:bookmarkEnd w:id="26"/>
    </w:p>
    <w:p w14:paraId="30DF4624" w14:textId="5A6EFECE" w:rsidR="003F137F" w:rsidRDefault="003F137F" w:rsidP="003F137F">
      <w:pPr>
        <w:pStyle w:val="body"/>
      </w:pPr>
      <w:r>
        <w:t xml:space="preserve">An initiative of AAV, Choose Art is an online directory designed for and by Deaf and Disabled people, which builds on the successful pilot </w:t>
      </w:r>
      <w:proofErr w:type="spellStart"/>
      <w:r>
        <w:t>ARTfinder</w:t>
      </w:r>
      <w:proofErr w:type="spellEnd"/>
      <w:r>
        <w:t xml:space="preserve"> Victoria. Choose Art’s mission is to provide a national platform to promote and find accessible arts programs, opportunities and events. A major aim is to make arts visible for those connecting with the NDIS.</w:t>
      </w:r>
    </w:p>
    <w:p w14:paraId="6F320D95" w14:textId="77777777" w:rsidR="003F137F" w:rsidRDefault="003F137F" w:rsidP="003F137F">
      <w:pPr>
        <w:pStyle w:val="body"/>
      </w:pPr>
    </w:p>
    <w:p w14:paraId="009294F2" w14:textId="77777777" w:rsidR="003F137F" w:rsidRDefault="003F137F" w:rsidP="003F137F">
      <w:pPr>
        <w:pStyle w:val="body"/>
      </w:pPr>
      <w:r>
        <w:t>Choose Art was launched at the Meeting of Cultural Ministers in Adelaide on</w:t>
      </w:r>
    </w:p>
    <w:p w14:paraId="50007701" w14:textId="4A3A1709" w:rsidR="003F137F" w:rsidRDefault="003F137F" w:rsidP="003F137F">
      <w:pPr>
        <w:pStyle w:val="body"/>
      </w:pPr>
      <w:r>
        <w:t>11 October 2019.</w:t>
      </w:r>
    </w:p>
    <w:p w14:paraId="3192911B" w14:textId="5ED594AB" w:rsidR="003F137F" w:rsidRDefault="003F137F" w:rsidP="003F137F">
      <w:pPr>
        <w:pStyle w:val="body"/>
      </w:pPr>
    </w:p>
    <w:p w14:paraId="073E9C8A" w14:textId="77777777" w:rsidR="003F137F" w:rsidRPr="003F137F" w:rsidRDefault="003F137F" w:rsidP="003F137F">
      <w:pPr>
        <w:pStyle w:val="body"/>
        <w:rPr>
          <w:b/>
          <w:bCs/>
        </w:rPr>
      </w:pPr>
      <w:r w:rsidRPr="003F137F">
        <w:rPr>
          <w:b/>
          <w:bCs/>
        </w:rPr>
        <w:t>“The new Choose Art directory is an innovative service which delivers greater engagement in Australia’s vibrant arts and culture scene by providing easily searchable listings of inclusive and</w:t>
      </w:r>
    </w:p>
    <w:p w14:paraId="0808048C" w14:textId="77777777" w:rsidR="003F137F" w:rsidRPr="003F137F" w:rsidRDefault="003F137F" w:rsidP="003F137F">
      <w:pPr>
        <w:pStyle w:val="body"/>
        <w:rPr>
          <w:b/>
          <w:bCs/>
        </w:rPr>
      </w:pPr>
      <w:r w:rsidRPr="003F137F">
        <w:rPr>
          <w:b/>
          <w:bCs/>
        </w:rPr>
        <w:t>accessible arts programs and events. It is important for our arts and culture bodies to be inclusive when designing programs and events so everyone can take part.”</w:t>
      </w:r>
    </w:p>
    <w:p w14:paraId="2A4F5B97" w14:textId="793E4486" w:rsidR="003F137F" w:rsidRPr="003F137F" w:rsidRDefault="003F137F" w:rsidP="003F137F">
      <w:pPr>
        <w:pStyle w:val="body"/>
        <w:numPr>
          <w:ilvl w:val="0"/>
          <w:numId w:val="7"/>
        </w:numPr>
        <w:rPr>
          <w:b/>
          <w:bCs/>
        </w:rPr>
      </w:pPr>
      <w:r w:rsidRPr="003F137F">
        <w:rPr>
          <w:b/>
          <w:bCs/>
        </w:rPr>
        <w:t xml:space="preserve"> The Hon Paul Fletcher MP, Federal Minister for Communications, Cyber Safety and the Arts</w:t>
      </w:r>
    </w:p>
    <w:p w14:paraId="42F2327D" w14:textId="77777777" w:rsidR="003F137F" w:rsidRDefault="003F137F" w:rsidP="003F137F">
      <w:pPr>
        <w:pStyle w:val="body"/>
      </w:pPr>
    </w:p>
    <w:p w14:paraId="42B5587C" w14:textId="506D0A95" w:rsidR="003F137F" w:rsidRDefault="003F137F" w:rsidP="003F137F">
      <w:pPr>
        <w:pStyle w:val="body"/>
      </w:pPr>
      <w:r>
        <w:lastRenderedPageBreak/>
        <w:t>Choose Art will support the arts and cultural sector to establish benchmarks in terms of accessibility and demonstrate where accessible art is clustered around the country.</w:t>
      </w:r>
    </w:p>
    <w:p w14:paraId="023BDC43" w14:textId="77777777" w:rsidR="003F137F" w:rsidRDefault="003F137F" w:rsidP="003F137F">
      <w:pPr>
        <w:pStyle w:val="body"/>
      </w:pPr>
    </w:p>
    <w:p w14:paraId="7534B1FF" w14:textId="0AA75FCA" w:rsidR="003F137F" w:rsidRDefault="001173C3" w:rsidP="003F137F">
      <w:pPr>
        <w:pStyle w:val="body"/>
        <w:rPr>
          <w:b/>
          <w:bCs/>
        </w:rPr>
      </w:pPr>
      <w:hyperlink r:id="rId12" w:history="1">
        <w:r w:rsidR="003F137F" w:rsidRPr="00F70DB6">
          <w:rPr>
            <w:rStyle w:val="Hyperlink"/>
            <w:b/>
            <w:bCs/>
          </w:rPr>
          <w:t>www.chooseart.com.au</w:t>
        </w:r>
      </w:hyperlink>
    </w:p>
    <w:p w14:paraId="019D68CB" w14:textId="34A50438" w:rsidR="003F137F" w:rsidRDefault="003F137F" w:rsidP="003F137F">
      <w:pPr>
        <w:pStyle w:val="body"/>
      </w:pPr>
      <w:r>
        <w:t>Choose Art is a Commonwealth project supported by the Cultural Ministers of each State and Territory through Arts ACT; Arts Tasmania; Create NSW; Creative Victoria; Culture and Arts WA; Arts South Australia; Arts Queensland; Department of Tourism and Culture, NT and the Federal Minister through the Department of Communications and the Arts.</w:t>
      </w:r>
    </w:p>
    <w:p w14:paraId="0EC9EF9E" w14:textId="77777777" w:rsidR="003F137F" w:rsidRDefault="003F137F" w:rsidP="003F137F">
      <w:pPr>
        <w:pStyle w:val="body"/>
      </w:pPr>
    </w:p>
    <w:p w14:paraId="73FA38E5" w14:textId="77777777" w:rsidR="003F137F" w:rsidRDefault="003F137F" w:rsidP="003F137F">
      <w:pPr>
        <w:pStyle w:val="body"/>
      </w:pPr>
      <w:r>
        <w:t>Arts Access Victoria has created Choose Art in partnership with Arts Access Australia, Access2Arts, Access Arts, Accessible Arts, Arts Access Darwin, Belconnen Arts Centre, DADAA and Incite Arts.</w:t>
      </w:r>
    </w:p>
    <w:p w14:paraId="61658CE2" w14:textId="77777777" w:rsidR="003F137F" w:rsidRDefault="003F137F" w:rsidP="003F137F">
      <w:pPr>
        <w:pStyle w:val="body"/>
      </w:pPr>
    </w:p>
    <w:p w14:paraId="12879FC1" w14:textId="3B8D3F6C" w:rsidR="003F137F" w:rsidRDefault="003F137F" w:rsidP="003F137F">
      <w:pPr>
        <w:pStyle w:val="body"/>
      </w:pPr>
      <w:r>
        <w:t>Arts Access Victoria also acknowledges support from Department of Health and Human Services Victoria.</w:t>
      </w:r>
    </w:p>
    <w:p w14:paraId="34C6D49F" w14:textId="4AD7AF0E" w:rsidR="003F137F" w:rsidRDefault="003F137F" w:rsidP="003F137F">
      <w:pPr>
        <w:pStyle w:val="body"/>
      </w:pPr>
    </w:p>
    <w:p w14:paraId="79B1ADB7" w14:textId="71ED6D78" w:rsidR="003F137F" w:rsidRDefault="003F137F" w:rsidP="003F137F">
      <w:pPr>
        <w:pStyle w:val="header2"/>
      </w:pPr>
      <w:bookmarkStart w:id="27" w:name="_Toc38622606"/>
      <w:r>
        <w:t>Research</w:t>
      </w:r>
      <w:bookmarkEnd w:id="27"/>
    </w:p>
    <w:p w14:paraId="30623DE4" w14:textId="77777777" w:rsidR="003F137F" w:rsidRDefault="003F137F" w:rsidP="003F137F">
      <w:pPr>
        <w:pStyle w:val="body"/>
      </w:pPr>
      <w:r>
        <w:t xml:space="preserve">The Last Avant Garde research project, also known as </w:t>
      </w:r>
      <w:r w:rsidRPr="003F137F">
        <w:rPr>
          <w:b/>
          <w:bCs/>
        </w:rPr>
        <w:t>Disability and the Performing Arts in Australia: Beyond the Social Model</w:t>
      </w:r>
      <w:r>
        <w:t>, culminated in December 2019 with the online publication of the findings.</w:t>
      </w:r>
    </w:p>
    <w:p w14:paraId="43ED29C5" w14:textId="77777777" w:rsidR="003F137F" w:rsidRDefault="003F137F" w:rsidP="003F137F">
      <w:pPr>
        <w:pStyle w:val="body"/>
      </w:pPr>
    </w:p>
    <w:p w14:paraId="4F637703" w14:textId="1BE8F2E5" w:rsidR="003F137F" w:rsidRDefault="003F137F" w:rsidP="003F137F">
      <w:pPr>
        <w:pStyle w:val="body"/>
      </w:pPr>
      <w:r>
        <w:t xml:space="preserve">Over the past three years, a team of Deaf and Disabled and non-disabled researches, artists, performers, writers, arts managers and theatre makers have been running disability-led inclusive arts workshops across Australia. The team collaborated with </w:t>
      </w:r>
      <w:r w:rsidRPr="003F137F">
        <w:rPr>
          <w:b/>
          <w:bCs/>
        </w:rPr>
        <w:t>150 artist-participants</w:t>
      </w:r>
      <w:r>
        <w:t xml:space="preserve"> in Sydney, Melbourne, Alice Springs, Brisbane, Perth, Hobart and Adelaide. They worked with the support of every peak arts and disability organisation, 15 disability arts facilitators and independent arts companies.</w:t>
      </w:r>
    </w:p>
    <w:p w14:paraId="52BAF69C" w14:textId="69939A15" w:rsidR="003F137F" w:rsidRDefault="003F137F" w:rsidP="003F137F">
      <w:pPr>
        <w:pStyle w:val="body"/>
      </w:pPr>
    </w:p>
    <w:p w14:paraId="513DF88C" w14:textId="713E38C3" w:rsidR="003F137F" w:rsidRDefault="003F137F" w:rsidP="003F137F">
      <w:pPr>
        <w:pStyle w:val="body"/>
      </w:pPr>
      <w:r>
        <w:t>Their findings include the following:</w:t>
      </w:r>
    </w:p>
    <w:p w14:paraId="51750546" w14:textId="77777777" w:rsidR="003F137F" w:rsidRDefault="003F137F" w:rsidP="003F137F">
      <w:pPr>
        <w:pStyle w:val="body"/>
      </w:pPr>
      <w:r>
        <w:t>•</w:t>
      </w:r>
      <w:r>
        <w:tab/>
        <w:t>We are ready to perform our art and art making process.</w:t>
      </w:r>
    </w:p>
    <w:p w14:paraId="11583649" w14:textId="77777777" w:rsidR="003F137F" w:rsidRDefault="003F137F" w:rsidP="003F137F">
      <w:pPr>
        <w:pStyle w:val="body"/>
      </w:pPr>
      <w:r>
        <w:t>•</w:t>
      </w:r>
      <w:r>
        <w:tab/>
        <w:t>We are at the forefront of collaborative, accessible and inclusive ways of making and thinking about arts practice.</w:t>
      </w:r>
    </w:p>
    <w:p w14:paraId="0027388F" w14:textId="77777777" w:rsidR="003F137F" w:rsidRDefault="003F137F" w:rsidP="003F137F">
      <w:pPr>
        <w:pStyle w:val="body"/>
      </w:pPr>
      <w:r>
        <w:lastRenderedPageBreak/>
        <w:t>•</w:t>
      </w:r>
      <w:r>
        <w:tab/>
        <w:t>To establish a creative level playing field, we acknowledge that our local communities of artists across Australia require access to educational and work opportunities, to funding bodies and application processes, to support and events where we can enhance our skills.</w:t>
      </w:r>
    </w:p>
    <w:p w14:paraId="7BB1759A" w14:textId="77777777" w:rsidR="003F137F" w:rsidRDefault="003F137F" w:rsidP="003F137F">
      <w:pPr>
        <w:pStyle w:val="body"/>
      </w:pPr>
    </w:p>
    <w:p w14:paraId="61F982DD" w14:textId="77777777" w:rsidR="003F137F" w:rsidRDefault="003F137F" w:rsidP="003F137F">
      <w:pPr>
        <w:pStyle w:val="body"/>
      </w:pPr>
      <w:r>
        <w:t>This project was funded by the Australia Research Council, as part of a long-running collaboration between AAV and the Universities of Melbourne and Sydney.</w:t>
      </w:r>
    </w:p>
    <w:p w14:paraId="3C1E527E" w14:textId="77777777" w:rsidR="003F137F" w:rsidRDefault="003F137F" w:rsidP="003F137F">
      <w:pPr>
        <w:pStyle w:val="body"/>
      </w:pPr>
    </w:p>
    <w:p w14:paraId="5E8B088B" w14:textId="59AC6CF3" w:rsidR="003F137F" w:rsidRDefault="001173C3" w:rsidP="003F137F">
      <w:pPr>
        <w:pStyle w:val="body"/>
        <w:rPr>
          <w:b/>
          <w:bCs/>
        </w:rPr>
      </w:pPr>
      <w:hyperlink r:id="rId13" w:history="1">
        <w:r w:rsidR="003F137F" w:rsidRPr="00F70DB6">
          <w:rPr>
            <w:rStyle w:val="Hyperlink"/>
            <w:b/>
            <w:bCs/>
          </w:rPr>
          <w:t>www.lastavantgarde.com.au</w:t>
        </w:r>
      </w:hyperlink>
    </w:p>
    <w:p w14:paraId="6E6D893F" w14:textId="2D322899" w:rsidR="003F137F" w:rsidRDefault="003F137F" w:rsidP="003F137F">
      <w:pPr>
        <w:pStyle w:val="body"/>
        <w:rPr>
          <w:b/>
          <w:bCs/>
        </w:rPr>
      </w:pPr>
    </w:p>
    <w:p w14:paraId="2497757B" w14:textId="77777777" w:rsidR="003F137F" w:rsidRPr="003F137F" w:rsidRDefault="003F137F" w:rsidP="003F137F">
      <w:pPr>
        <w:pStyle w:val="header2"/>
      </w:pPr>
      <w:bookmarkStart w:id="28" w:name="_Toc38622607"/>
      <w:r w:rsidRPr="003F137F">
        <w:t>The Other Film Festival – Reimagined</w:t>
      </w:r>
      <w:bookmarkEnd w:id="28"/>
    </w:p>
    <w:p w14:paraId="6182B6F0" w14:textId="77777777" w:rsidR="003F137F" w:rsidRPr="003F137F" w:rsidRDefault="003F137F" w:rsidP="003F137F">
      <w:pPr>
        <w:pStyle w:val="body"/>
      </w:pPr>
      <w:r w:rsidRPr="003F137F">
        <w:t xml:space="preserve">For </w:t>
      </w:r>
      <w:proofErr w:type="gramStart"/>
      <w:r w:rsidRPr="003F137F">
        <w:t>The</w:t>
      </w:r>
      <w:proofErr w:type="gramEnd"/>
      <w:r w:rsidRPr="003F137F">
        <w:t xml:space="preserve"> Other Film Festival (TOFF), 2019 was a year of regeneration. The screen landscape has transformed since TOFF first started in 2004. As such, in 2019, TOFF focused on presenting an annual disability- led program, which sits at the forefront of inclusive screen arts practice.</w:t>
      </w:r>
    </w:p>
    <w:p w14:paraId="6EB10B6C" w14:textId="77777777" w:rsidR="003F137F" w:rsidRPr="003F137F" w:rsidRDefault="003F137F" w:rsidP="003F137F">
      <w:pPr>
        <w:pStyle w:val="body"/>
        <w:rPr>
          <w:b/>
          <w:bCs/>
        </w:rPr>
      </w:pPr>
    </w:p>
    <w:p w14:paraId="19102034" w14:textId="77777777" w:rsidR="003F137F" w:rsidRPr="003F137F" w:rsidRDefault="003F137F" w:rsidP="003F137F">
      <w:pPr>
        <w:pStyle w:val="body"/>
        <w:rPr>
          <w:b/>
          <w:bCs/>
        </w:rPr>
      </w:pPr>
      <w:r w:rsidRPr="003F137F">
        <w:rPr>
          <w:b/>
          <w:bCs/>
        </w:rPr>
        <w:t>The Wheeler Centre partnership</w:t>
      </w:r>
    </w:p>
    <w:p w14:paraId="7321FB74" w14:textId="32C06419" w:rsidR="003F137F" w:rsidRPr="003303D3" w:rsidRDefault="003F137F" w:rsidP="003F137F">
      <w:pPr>
        <w:pStyle w:val="body"/>
      </w:pPr>
      <w:r w:rsidRPr="003F137F">
        <w:t xml:space="preserve">In </w:t>
      </w:r>
      <w:r w:rsidRPr="003303D3">
        <w:t>partnership</w:t>
      </w:r>
      <w:r w:rsidRPr="003F137F">
        <w:t xml:space="preserve"> with The Wheeler Centre, TOFF delivered a pop-up series of events, including:</w:t>
      </w:r>
    </w:p>
    <w:p w14:paraId="79B88726" w14:textId="77777777" w:rsidR="003F137F" w:rsidRPr="003303D3" w:rsidRDefault="003F137F" w:rsidP="003303D3">
      <w:pPr>
        <w:pStyle w:val="body"/>
      </w:pPr>
      <w:r w:rsidRPr="003303D3">
        <w:t>•</w:t>
      </w:r>
      <w:r w:rsidRPr="003303D3">
        <w:tab/>
      </w:r>
      <w:proofErr w:type="spellStart"/>
      <w:proofErr w:type="gramStart"/>
      <w:r w:rsidRPr="003303D3">
        <w:t>Krack!n</w:t>
      </w:r>
      <w:proofErr w:type="spellEnd"/>
      <w:proofErr w:type="gramEnd"/>
      <w:r w:rsidRPr="003303D3">
        <w:t xml:space="preserve"> the Industry: Inclusion on Screen</w:t>
      </w:r>
    </w:p>
    <w:p w14:paraId="3725C04E" w14:textId="77777777" w:rsidR="003F137F" w:rsidRPr="003303D3" w:rsidRDefault="003F137F" w:rsidP="003303D3">
      <w:pPr>
        <w:pStyle w:val="body"/>
      </w:pPr>
      <w:r w:rsidRPr="003303D3">
        <w:t>•</w:t>
      </w:r>
      <w:r w:rsidRPr="003303D3">
        <w:tab/>
        <w:t>Digital Futures: New Media, Storytelling and Disability</w:t>
      </w:r>
    </w:p>
    <w:p w14:paraId="3E4F41C9" w14:textId="33D4FC6D" w:rsidR="003F137F" w:rsidRDefault="003F137F" w:rsidP="003303D3">
      <w:pPr>
        <w:pStyle w:val="body"/>
      </w:pPr>
      <w:r w:rsidRPr="003303D3">
        <w:t>•</w:t>
      </w:r>
      <w:r w:rsidRPr="003303D3">
        <w:tab/>
        <w:t>Leading the Charge: Climate</w:t>
      </w:r>
    </w:p>
    <w:p w14:paraId="0CE4BD2A" w14:textId="77777777" w:rsidR="003303D3" w:rsidRPr="003303D3" w:rsidRDefault="003303D3" w:rsidP="003303D3">
      <w:pPr>
        <w:pStyle w:val="body"/>
      </w:pPr>
    </w:p>
    <w:p w14:paraId="26DAD2C8" w14:textId="77777777" w:rsidR="003303D3" w:rsidRDefault="003F137F" w:rsidP="003303D3">
      <w:pPr>
        <w:pStyle w:val="body"/>
      </w:pPr>
      <w:r w:rsidRPr="003303D3">
        <w:rPr>
          <w:b/>
          <w:bCs/>
        </w:rPr>
        <w:t>Inner West Council Tour Program</w:t>
      </w:r>
    </w:p>
    <w:p w14:paraId="784C3C16" w14:textId="404669CC" w:rsidR="003F137F" w:rsidRDefault="003F137F" w:rsidP="003303D3">
      <w:pPr>
        <w:pStyle w:val="body"/>
      </w:pPr>
      <w:r w:rsidRPr="003F137F">
        <w:t>TOFF delivered a tour program to Inner West Council in Sydney. The tour program featured nine local and international films chosen from the 2018 TOFF program. Inner West Council hosted a weekend of films, music and live performance to mark the 2019 International Day of People with Disability. The all-inclusive free event spanned across two nights of film and panel discussions curated and created by and with Deaf and Disabled people.</w:t>
      </w:r>
    </w:p>
    <w:p w14:paraId="68557D04" w14:textId="32A9EE5A" w:rsidR="003303D3" w:rsidRDefault="003303D3" w:rsidP="003303D3">
      <w:pPr>
        <w:pStyle w:val="body"/>
      </w:pPr>
    </w:p>
    <w:p w14:paraId="0CE04AA2" w14:textId="77777777" w:rsidR="003303D3" w:rsidRDefault="003303D3" w:rsidP="003303D3">
      <w:pPr>
        <w:pStyle w:val="header2"/>
      </w:pPr>
      <w:bookmarkStart w:id="29" w:name="_Toc38622608"/>
      <w:r>
        <w:t>Regional Arts Development Project</w:t>
      </w:r>
      <w:bookmarkEnd w:id="29"/>
    </w:p>
    <w:p w14:paraId="41B1DB9C" w14:textId="448F412C" w:rsidR="003303D3" w:rsidRDefault="003303D3" w:rsidP="003303D3">
      <w:pPr>
        <w:pStyle w:val="body"/>
      </w:pPr>
      <w:r>
        <w:t>In partnership with City of Casey through the triennial Casey Arts Development Fund, throughout 2019 AAV ran two multi-artform programs focused on choice and control,</w:t>
      </w:r>
    </w:p>
    <w:p w14:paraId="5F42D69F" w14:textId="77777777" w:rsidR="003303D3" w:rsidRDefault="003303D3" w:rsidP="003303D3">
      <w:pPr>
        <w:pStyle w:val="body"/>
      </w:pPr>
      <w:r>
        <w:lastRenderedPageBreak/>
        <w:t xml:space="preserve">supporting inclusive community and </w:t>
      </w:r>
      <w:r w:rsidRPr="003303D3">
        <w:rPr>
          <w:b/>
          <w:bCs/>
        </w:rPr>
        <w:t>promoting disability arts within the Casey region.</w:t>
      </w:r>
    </w:p>
    <w:p w14:paraId="223081A2" w14:textId="77777777" w:rsidR="003303D3" w:rsidRDefault="003303D3" w:rsidP="003303D3">
      <w:pPr>
        <w:pStyle w:val="body"/>
      </w:pPr>
    </w:p>
    <w:p w14:paraId="39E9DE99" w14:textId="77777777" w:rsidR="003303D3" w:rsidRPr="003303D3" w:rsidRDefault="003303D3" w:rsidP="003303D3">
      <w:pPr>
        <w:pStyle w:val="body"/>
        <w:rPr>
          <w:b/>
          <w:bCs/>
        </w:rPr>
      </w:pPr>
      <w:r>
        <w:t xml:space="preserve">Both disability-lead programs, Autumn Gathering and Winter Voices, provided meaningful insight on how AAV and City of Casey can nurture and support Casey Deaf and Disabled artists. Autumn Gathering focused on investigating the field of </w:t>
      </w:r>
      <w:r w:rsidRPr="003303D3">
        <w:rPr>
          <w:b/>
          <w:bCs/>
        </w:rPr>
        <w:t>inclusive arts practice</w:t>
      </w:r>
      <w:r>
        <w:t xml:space="preserve"> in the region, while Winter Voices focused on promoting </w:t>
      </w:r>
      <w:r w:rsidRPr="003303D3">
        <w:rPr>
          <w:b/>
          <w:bCs/>
        </w:rPr>
        <w:t>wellbeing and connection through music.</w:t>
      </w:r>
    </w:p>
    <w:p w14:paraId="5C0D56A4" w14:textId="46C417AA" w:rsidR="003303D3" w:rsidRDefault="003303D3" w:rsidP="003303D3">
      <w:pPr>
        <w:pStyle w:val="body"/>
      </w:pPr>
    </w:p>
    <w:p w14:paraId="521E73E9" w14:textId="6BCCB710" w:rsidR="003303D3" w:rsidRDefault="003303D3" w:rsidP="003303D3">
      <w:pPr>
        <w:pStyle w:val="body"/>
      </w:pPr>
      <w:r>
        <w:t>Not only were disabled artists from the region employed to lead the programs, but they also participated in projects and events beyond the City of Casey, such as:</w:t>
      </w:r>
    </w:p>
    <w:p w14:paraId="75518111" w14:textId="77777777" w:rsidR="003303D3" w:rsidRDefault="003303D3" w:rsidP="003303D3">
      <w:pPr>
        <w:pStyle w:val="body"/>
      </w:pPr>
      <w:r>
        <w:t>•</w:t>
      </w:r>
      <w:r>
        <w:tab/>
        <w:t>Cultural Threads in the City of Greater Dandenong</w:t>
      </w:r>
    </w:p>
    <w:p w14:paraId="52D157B2" w14:textId="77777777" w:rsidR="003303D3" w:rsidRDefault="003303D3" w:rsidP="003303D3">
      <w:pPr>
        <w:pStyle w:val="body"/>
      </w:pPr>
      <w:r>
        <w:t>•</w:t>
      </w:r>
      <w:r>
        <w:tab/>
        <w:t xml:space="preserve">Small Scratches in the City of </w:t>
      </w:r>
      <w:proofErr w:type="spellStart"/>
      <w:r>
        <w:t>Darebin</w:t>
      </w:r>
      <w:proofErr w:type="spellEnd"/>
    </w:p>
    <w:p w14:paraId="441E1E82" w14:textId="77777777" w:rsidR="003303D3" w:rsidRDefault="003303D3" w:rsidP="003303D3">
      <w:pPr>
        <w:pStyle w:val="body"/>
      </w:pPr>
      <w:r>
        <w:t>•</w:t>
      </w:r>
      <w:r>
        <w:tab/>
        <w:t>Open Doors Emerald Hill in the City of Port Phillip</w:t>
      </w:r>
    </w:p>
    <w:p w14:paraId="528528B5" w14:textId="77777777" w:rsidR="003303D3" w:rsidRDefault="003303D3" w:rsidP="003303D3">
      <w:pPr>
        <w:pStyle w:val="body"/>
      </w:pPr>
      <w:r>
        <w:t>•</w:t>
      </w:r>
      <w:r>
        <w:tab/>
        <w:t>Ignite exhibition and #</w:t>
      </w:r>
      <w:proofErr w:type="spellStart"/>
      <w:r>
        <w:t>BeingEnough</w:t>
      </w:r>
      <w:proofErr w:type="spellEnd"/>
      <w:r>
        <w:t xml:space="preserve"> Digital Precinct in the City of Melbourne</w:t>
      </w:r>
    </w:p>
    <w:p w14:paraId="59778C88" w14:textId="77777777" w:rsidR="003303D3" w:rsidRDefault="003303D3" w:rsidP="003303D3">
      <w:pPr>
        <w:pStyle w:val="body"/>
      </w:pPr>
    </w:p>
    <w:p w14:paraId="3C29BBC0" w14:textId="2797C6A4" w:rsidR="003303D3" w:rsidRDefault="003303D3" w:rsidP="003303D3">
      <w:pPr>
        <w:pStyle w:val="body"/>
      </w:pPr>
      <w:r>
        <w:t>We look forward to continuing working with the City of Casey in 2020 to achieve greater inclusion and participation in the regional arts sector.</w:t>
      </w:r>
    </w:p>
    <w:p w14:paraId="04AC55BA" w14:textId="6261735F" w:rsidR="003303D3" w:rsidRDefault="003303D3" w:rsidP="003303D3">
      <w:pPr>
        <w:pStyle w:val="body"/>
      </w:pPr>
    </w:p>
    <w:p w14:paraId="4F93E332" w14:textId="777FCD47" w:rsidR="003303D3" w:rsidRDefault="003303D3">
      <w:pPr>
        <w:rPr>
          <w:rFonts w:cstheme="minorHAnsi"/>
          <w:color w:val="2C2D35"/>
          <w:spacing w:val="-2"/>
          <w:sz w:val="28"/>
          <w:szCs w:val="28"/>
          <w:lang w:val="en-GB"/>
        </w:rPr>
      </w:pPr>
      <w:r>
        <w:br w:type="page"/>
      </w:r>
    </w:p>
    <w:p w14:paraId="378E7F4E" w14:textId="72DE1C5D" w:rsidR="003303D3" w:rsidRDefault="003303D3" w:rsidP="00B81306">
      <w:pPr>
        <w:pStyle w:val="header1"/>
      </w:pPr>
      <w:bookmarkStart w:id="30" w:name="_Toc38622609"/>
      <w:r>
        <w:lastRenderedPageBreak/>
        <w:t>And the winners are...</w:t>
      </w:r>
      <w:bookmarkEnd w:id="30"/>
    </w:p>
    <w:p w14:paraId="432B4D81" w14:textId="77777777" w:rsidR="003303D3" w:rsidRDefault="003303D3" w:rsidP="003303D3">
      <w:pPr>
        <w:pStyle w:val="body"/>
      </w:pPr>
    </w:p>
    <w:p w14:paraId="79DD5797" w14:textId="74E403EB" w:rsidR="003303D3" w:rsidRDefault="003303D3" w:rsidP="003303D3">
      <w:pPr>
        <w:pStyle w:val="header2"/>
      </w:pPr>
      <w:bookmarkStart w:id="31" w:name="_Toc38622610"/>
      <w:r>
        <w:t>2019 Stella Young Award</w:t>
      </w:r>
      <w:bookmarkEnd w:id="31"/>
    </w:p>
    <w:p w14:paraId="3B763132" w14:textId="77777777" w:rsidR="003303D3" w:rsidRDefault="003303D3" w:rsidP="003303D3">
      <w:pPr>
        <w:pStyle w:val="body"/>
      </w:pPr>
      <w:r>
        <w:t>AAV was proud to announce Vanessa Jo Di Natale as the 2019 winner at the Art of Pride event, which was hosted at the Arts Centre Melbourne as part of The Kiln. The annual Stella Young Award aims to recognise a young Australian disabled artist for their impact on disability activism.</w:t>
      </w:r>
    </w:p>
    <w:p w14:paraId="404A1006" w14:textId="77777777" w:rsidR="003303D3" w:rsidRDefault="003303D3" w:rsidP="003303D3">
      <w:pPr>
        <w:pStyle w:val="body"/>
      </w:pPr>
    </w:p>
    <w:p w14:paraId="7CF30E02" w14:textId="06409078" w:rsidR="003303D3" w:rsidRDefault="003303D3" w:rsidP="003303D3">
      <w:pPr>
        <w:pStyle w:val="body"/>
      </w:pPr>
      <w:r>
        <w:t>Vanessa identifies with being on the autism spectrum (or neurodivergent) and works across many mediums. She has written a script called Breeders, which explores the societal value placed on disabled people. The play will be presented at La Mama in 2020.</w:t>
      </w:r>
    </w:p>
    <w:p w14:paraId="75F2FC4B" w14:textId="77777777" w:rsidR="003303D3" w:rsidRDefault="003303D3" w:rsidP="003303D3">
      <w:pPr>
        <w:pStyle w:val="body"/>
      </w:pPr>
    </w:p>
    <w:p w14:paraId="025C797D" w14:textId="77777777" w:rsidR="003303D3" w:rsidRDefault="003303D3" w:rsidP="003303D3">
      <w:pPr>
        <w:pStyle w:val="body"/>
      </w:pPr>
      <w:r>
        <w:t>We are excited to see what Vanessa will achieve over the next 12 months and into the future. We have no doubt she will be creating art that amplifies the voice of disability pride.</w:t>
      </w:r>
    </w:p>
    <w:p w14:paraId="30AD623D" w14:textId="77777777" w:rsidR="003303D3" w:rsidRDefault="003303D3" w:rsidP="003303D3">
      <w:pPr>
        <w:pStyle w:val="body"/>
      </w:pPr>
    </w:p>
    <w:p w14:paraId="449E13A2" w14:textId="77777777" w:rsidR="003303D3" w:rsidRPr="003303D3" w:rsidRDefault="003303D3" w:rsidP="003303D3">
      <w:pPr>
        <w:pStyle w:val="body"/>
        <w:rPr>
          <w:b/>
          <w:bCs/>
        </w:rPr>
      </w:pPr>
      <w:r w:rsidRPr="003303D3">
        <w:rPr>
          <w:b/>
          <w:bCs/>
        </w:rPr>
        <w:t xml:space="preserve">“I didn’t realise I had a disability until I was 18. I feel </w:t>
      </w:r>
      <w:proofErr w:type="gramStart"/>
      <w:r w:rsidRPr="003303D3">
        <w:rPr>
          <w:b/>
          <w:bCs/>
        </w:rPr>
        <w:t>I’ve</w:t>
      </w:r>
      <w:proofErr w:type="gramEnd"/>
      <w:r w:rsidRPr="003303D3">
        <w:rPr>
          <w:b/>
          <w:bCs/>
        </w:rPr>
        <w:t xml:space="preserve"> missed out on 18 years of being part of the disability community. Now </w:t>
      </w:r>
      <w:proofErr w:type="gramStart"/>
      <w:r w:rsidRPr="003303D3">
        <w:rPr>
          <w:b/>
          <w:bCs/>
        </w:rPr>
        <w:t>I’m</w:t>
      </w:r>
      <w:proofErr w:type="gramEnd"/>
      <w:r w:rsidRPr="003303D3">
        <w:rPr>
          <w:b/>
          <w:bCs/>
        </w:rPr>
        <w:t xml:space="preserve"> part of it, I feel stronger. I feel less defective and alienated.”</w:t>
      </w:r>
    </w:p>
    <w:p w14:paraId="0C068E84" w14:textId="5DB7ECB5" w:rsidR="003303D3" w:rsidRPr="003303D3" w:rsidRDefault="003303D3" w:rsidP="003303D3">
      <w:pPr>
        <w:pStyle w:val="body"/>
        <w:numPr>
          <w:ilvl w:val="0"/>
          <w:numId w:val="7"/>
        </w:numPr>
        <w:rPr>
          <w:b/>
          <w:bCs/>
        </w:rPr>
      </w:pPr>
      <w:r w:rsidRPr="003303D3">
        <w:rPr>
          <w:b/>
          <w:bCs/>
        </w:rPr>
        <w:t>Vanessa Jo Di Natale, 2019 Stella Young Award winner</w:t>
      </w:r>
    </w:p>
    <w:p w14:paraId="72961ADE" w14:textId="77777777" w:rsidR="003303D3" w:rsidRDefault="003303D3" w:rsidP="003303D3">
      <w:pPr>
        <w:pStyle w:val="body"/>
      </w:pPr>
    </w:p>
    <w:p w14:paraId="5C9AD332" w14:textId="54D311FD" w:rsidR="003303D3" w:rsidRDefault="003303D3" w:rsidP="003303D3">
      <w:pPr>
        <w:pStyle w:val="body"/>
      </w:pPr>
      <w:r>
        <w:t>The award is made possible by the amazing work and legacy of Disability Media Australia (formerly Grit Media). We thank everyone involved with the organisation and those involved in the production of No Limits.</w:t>
      </w:r>
    </w:p>
    <w:p w14:paraId="4065E762" w14:textId="206A7797" w:rsidR="003303D3" w:rsidRDefault="003303D3" w:rsidP="003303D3">
      <w:pPr>
        <w:pStyle w:val="body"/>
      </w:pPr>
    </w:p>
    <w:p w14:paraId="23CBBCFE" w14:textId="77777777" w:rsidR="003303D3" w:rsidRDefault="003303D3" w:rsidP="003303D3">
      <w:pPr>
        <w:pStyle w:val="header2"/>
      </w:pPr>
      <w:bookmarkStart w:id="32" w:name="_Toc38622611"/>
      <w:r>
        <w:t>2019 Lesley Hall Arts and Disability Scholarship</w:t>
      </w:r>
      <w:bookmarkEnd w:id="32"/>
    </w:p>
    <w:p w14:paraId="5A1E1C90" w14:textId="77777777" w:rsidR="003303D3" w:rsidRDefault="003303D3" w:rsidP="003303D3">
      <w:pPr>
        <w:pStyle w:val="body"/>
      </w:pPr>
      <w:r>
        <w:t>AAV’s annual Lesley Hall Arts and Disability Scholarship recognises the power of the arts to influence social change. In 2019, two scholarships were granted for the first time to Olivia Muscat and Carly Findlay.</w:t>
      </w:r>
    </w:p>
    <w:p w14:paraId="503A944E" w14:textId="77777777" w:rsidR="003303D3" w:rsidRDefault="003303D3" w:rsidP="003303D3">
      <w:pPr>
        <w:pStyle w:val="body"/>
      </w:pPr>
    </w:p>
    <w:p w14:paraId="725865ED" w14:textId="77777777" w:rsidR="003303D3" w:rsidRDefault="003303D3" w:rsidP="003303D3">
      <w:pPr>
        <w:pStyle w:val="body"/>
      </w:pPr>
      <w:r>
        <w:lastRenderedPageBreak/>
        <w:t>Carly Findlay is an award-winning writer, speaker, trainer and appearance activist. Carly will be making a podcast featuring conversations with Deaf and Disabled women in 2020.</w:t>
      </w:r>
    </w:p>
    <w:p w14:paraId="019DDDA2" w14:textId="77777777" w:rsidR="003303D3" w:rsidRDefault="003303D3" w:rsidP="003303D3">
      <w:pPr>
        <w:pStyle w:val="body"/>
      </w:pPr>
    </w:p>
    <w:p w14:paraId="2F7A9F4B" w14:textId="432670F9" w:rsidR="003303D3" w:rsidRDefault="003303D3" w:rsidP="003303D3">
      <w:pPr>
        <w:pStyle w:val="body"/>
      </w:pPr>
      <w:r>
        <w:t>Olivia Muscat is a writer and critic. In 2020, Olivia will be writing a fiction novel for 8-12-year-olds featuring two main young girls who are blind. The two protagonists will be at very different points in terms of their disability and how they feel about it. They will have very different views on their place in the world and where they have found themselves.</w:t>
      </w:r>
    </w:p>
    <w:p w14:paraId="6D8B2CD2" w14:textId="51BF0BE6" w:rsidR="003303D3" w:rsidRDefault="003303D3">
      <w:pPr>
        <w:rPr>
          <w:rFonts w:cstheme="minorHAnsi"/>
          <w:color w:val="2C2D35"/>
          <w:spacing w:val="-2"/>
          <w:sz w:val="28"/>
          <w:szCs w:val="28"/>
          <w:lang w:val="en-GB"/>
        </w:rPr>
      </w:pPr>
      <w:r>
        <w:br w:type="page"/>
      </w:r>
    </w:p>
    <w:p w14:paraId="26E85C2A" w14:textId="5D2CF833" w:rsidR="003303D3" w:rsidRDefault="003303D3" w:rsidP="00B81306">
      <w:pPr>
        <w:pStyle w:val="header1"/>
      </w:pPr>
      <w:bookmarkStart w:id="33" w:name="_Toc38622612"/>
      <w:r>
        <w:lastRenderedPageBreak/>
        <w:t>Impact of the NDIS on disability arts in Victoria</w:t>
      </w:r>
      <w:bookmarkEnd w:id="33"/>
    </w:p>
    <w:p w14:paraId="0304F319" w14:textId="6486EDB1" w:rsidR="003303D3" w:rsidRDefault="003303D3" w:rsidP="003303D3">
      <w:pPr>
        <w:pStyle w:val="body"/>
      </w:pPr>
      <w:r>
        <w:t>The federal government’s new disability funding model, the National Disability Insurance Scheme (NDIS), is the ‘biggest change in social services Australia has seen in more than 30 years.’ The NDIS continues to have a major impact on AAV – how we function as an organisation, and our engagement with Deaf and Disabled artists.</w:t>
      </w:r>
    </w:p>
    <w:p w14:paraId="6FEEAE8A" w14:textId="77777777" w:rsidR="003303D3" w:rsidRDefault="003303D3" w:rsidP="003303D3">
      <w:pPr>
        <w:pStyle w:val="body"/>
      </w:pPr>
    </w:p>
    <w:p w14:paraId="32AAE7A3" w14:textId="77777777" w:rsidR="003303D3" w:rsidRDefault="003303D3" w:rsidP="003303D3">
      <w:pPr>
        <w:pStyle w:val="body"/>
      </w:pPr>
      <w:r>
        <w:t>The NDIS market of service providers and users is precarious and unpredictable. Arts and cultural participation are being excluded from the assessment matrix used by NDIS planners to develop individual plans. The market has also seen an unprecedented deregistration of disability service providers.</w:t>
      </w:r>
    </w:p>
    <w:p w14:paraId="61851A3A" w14:textId="77777777" w:rsidR="003303D3" w:rsidRDefault="003303D3" w:rsidP="003303D3">
      <w:pPr>
        <w:pStyle w:val="body"/>
      </w:pPr>
    </w:p>
    <w:p w14:paraId="4A4BFDE2" w14:textId="77777777" w:rsidR="003303D3" w:rsidRDefault="003303D3" w:rsidP="003303D3">
      <w:pPr>
        <w:pStyle w:val="body"/>
      </w:pPr>
      <w:r>
        <w:t>As a registered NDIS provider, AAV remains vigilant and proactive in meeting these changing conditions.</w:t>
      </w:r>
    </w:p>
    <w:p w14:paraId="6057A6A2" w14:textId="77777777" w:rsidR="003303D3" w:rsidRDefault="003303D3" w:rsidP="003303D3">
      <w:pPr>
        <w:pStyle w:val="body"/>
      </w:pPr>
    </w:p>
    <w:p w14:paraId="10F91E44" w14:textId="2759873A" w:rsidR="003303D3" w:rsidRDefault="003303D3" w:rsidP="003303D3">
      <w:pPr>
        <w:pStyle w:val="body"/>
      </w:pPr>
      <w:r>
        <w:t>AAV has a dedicated NDIS role within the organisation to work with artists, and advocate to include arts as part of individual NDIS plans. We developed a series of print resources for individuals and carers. In 2019, we delivered 30 NDIS information sessions to individual artists and arts organisations.</w:t>
      </w:r>
    </w:p>
    <w:p w14:paraId="400AD1F9" w14:textId="77777777" w:rsidR="003303D3" w:rsidRDefault="003303D3" w:rsidP="003303D3">
      <w:pPr>
        <w:pStyle w:val="body"/>
      </w:pPr>
      <w:r>
        <w:t>Further, AAV undertook trailblazing research to:</w:t>
      </w:r>
    </w:p>
    <w:p w14:paraId="207E459F" w14:textId="25B8ADD2" w:rsidR="003303D3" w:rsidRDefault="003303D3" w:rsidP="003303D3">
      <w:pPr>
        <w:pStyle w:val="body"/>
        <w:numPr>
          <w:ilvl w:val="0"/>
          <w:numId w:val="9"/>
        </w:numPr>
      </w:pPr>
      <w:r>
        <w:t xml:space="preserve">understand and document the impact of the NDIS on the operating models of the disability arts sector in </w:t>
      </w:r>
      <w:proofErr w:type="gramStart"/>
      <w:r>
        <w:t>Victoria;</w:t>
      </w:r>
      <w:proofErr w:type="gramEnd"/>
    </w:p>
    <w:p w14:paraId="1E963E80" w14:textId="5CB2EA38" w:rsidR="003303D3" w:rsidRDefault="003303D3" w:rsidP="003303D3">
      <w:pPr>
        <w:pStyle w:val="body"/>
        <w:numPr>
          <w:ilvl w:val="0"/>
          <w:numId w:val="9"/>
        </w:numPr>
      </w:pPr>
      <w:r>
        <w:t>investigate a range of operating models that may support current and future activities; and</w:t>
      </w:r>
    </w:p>
    <w:p w14:paraId="69360C8C" w14:textId="5462D43F" w:rsidR="003303D3" w:rsidRDefault="003303D3" w:rsidP="003303D3">
      <w:pPr>
        <w:pStyle w:val="body"/>
        <w:numPr>
          <w:ilvl w:val="0"/>
          <w:numId w:val="9"/>
        </w:numPr>
      </w:pPr>
      <w:r>
        <w:t>build capacity in the disability arts sector to engage with these ideas through documentation and presentation.</w:t>
      </w:r>
    </w:p>
    <w:p w14:paraId="598C593C" w14:textId="77777777" w:rsidR="003303D3" w:rsidRDefault="003303D3" w:rsidP="003303D3">
      <w:pPr>
        <w:pStyle w:val="body"/>
      </w:pPr>
    </w:p>
    <w:p w14:paraId="78482EBB" w14:textId="77777777" w:rsidR="003303D3" w:rsidRDefault="003303D3" w:rsidP="003303D3">
      <w:pPr>
        <w:pStyle w:val="body"/>
      </w:pPr>
      <w:r>
        <w:t>The full results of this research project will be published in 2020.</w:t>
      </w:r>
    </w:p>
    <w:p w14:paraId="0435B745" w14:textId="77777777" w:rsidR="003303D3" w:rsidRDefault="003303D3" w:rsidP="003303D3">
      <w:pPr>
        <w:pStyle w:val="body"/>
      </w:pPr>
    </w:p>
    <w:p w14:paraId="1BC484F2" w14:textId="77777777" w:rsidR="003303D3" w:rsidRDefault="003303D3" w:rsidP="003303D3">
      <w:pPr>
        <w:pStyle w:val="body"/>
      </w:pPr>
      <w:r>
        <w:t>With these and other strategies, AAV, the peak body for disability arts in Victoria, has positioned itself as a leader in NDIS and the arts. Our intention is not only to survive but to thrive in the new and dynamic, NDIS environment.</w:t>
      </w:r>
    </w:p>
    <w:p w14:paraId="29385EEE" w14:textId="46F93155" w:rsidR="003303D3" w:rsidRDefault="003303D3" w:rsidP="003303D3">
      <w:pPr>
        <w:pStyle w:val="body"/>
      </w:pPr>
    </w:p>
    <w:p w14:paraId="60E65D1F" w14:textId="008F66E7" w:rsidR="003303D3" w:rsidRDefault="003303D3">
      <w:pPr>
        <w:rPr>
          <w:rFonts w:cstheme="minorHAnsi"/>
          <w:color w:val="2C2D35"/>
          <w:spacing w:val="-2"/>
          <w:sz w:val="28"/>
          <w:szCs w:val="28"/>
          <w:lang w:val="en-GB"/>
        </w:rPr>
      </w:pPr>
      <w:r>
        <w:br w:type="page"/>
      </w:r>
    </w:p>
    <w:p w14:paraId="38D31108" w14:textId="77777777" w:rsidR="003303D3" w:rsidRDefault="003303D3" w:rsidP="00B81306">
      <w:pPr>
        <w:pStyle w:val="header1"/>
      </w:pPr>
      <w:bookmarkStart w:id="34" w:name="_Toc38622613"/>
      <w:r>
        <w:lastRenderedPageBreak/>
        <w:t>Financial report</w:t>
      </w:r>
      <w:bookmarkEnd w:id="34"/>
    </w:p>
    <w:p w14:paraId="253FE6D6" w14:textId="77777777" w:rsidR="003303D3" w:rsidRDefault="003303D3" w:rsidP="003303D3">
      <w:pPr>
        <w:pStyle w:val="body"/>
      </w:pPr>
    </w:p>
    <w:p w14:paraId="1F876B7F" w14:textId="77777777" w:rsidR="003303D3" w:rsidRDefault="003303D3" w:rsidP="003303D3">
      <w:pPr>
        <w:pStyle w:val="body"/>
      </w:pPr>
      <w:r>
        <w:t>AAV completed the year with an operational deficit of ($59,155) and an overall surplus of</w:t>
      </w:r>
    </w:p>
    <w:p w14:paraId="2933B31E" w14:textId="77777777" w:rsidR="003303D3" w:rsidRDefault="003303D3" w:rsidP="003303D3">
      <w:pPr>
        <w:pStyle w:val="body"/>
      </w:pPr>
      <w:r>
        <w:t>$133,882, driven by an increase in the value of our Trust Fund of $193,037.</w:t>
      </w:r>
    </w:p>
    <w:p w14:paraId="3F6B406B" w14:textId="77777777" w:rsidR="003303D3" w:rsidRDefault="003303D3" w:rsidP="003303D3">
      <w:pPr>
        <w:pStyle w:val="body"/>
      </w:pPr>
    </w:p>
    <w:p w14:paraId="10931D65" w14:textId="77777777" w:rsidR="003303D3" w:rsidRDefault="003303D3" w:rsidP="003303D3">
      <w:pPr>
        <w:pStyle w:val="body"/>
      </w:pPr>
      <w:r>
        <w:t>We continue to deliver programs to our participants within the constraints of our income streams. And we have successfully transitioned all participants from pre NDIS funded programs to NDIS funding.</w:t>
      </w:r>
    </w:p>
    <w:p w14:paraId="76DB5AF8" w14:textId="77777777" w:rsidR="003303D3" w:rsidRDefault="003303D3" w:rsidP="003303D3">
      <w:pPr>
        <w:pStyle w:val="body"/>
      </w:pPr>
    </w:p>
    <w:p w14:paraId="5602DAE8" w14:textId="33F977BA" w:rsidR="003303D3" w:rsidRDefault="003303D3" w:rsidP="003303D3">
      <w:pPr>
        <w:pStyle w:val="body"/>
      </w:pPr>
      <w:r>
        <w:t>The NDIS systems and processes come at a cost, as we need extra staff to manage the NDIS process. We are constrained by how much we can charge and are, therefore, continually working through the financial risk of the NDIS.</w:t>
      </w:r>
    </w:p>
    <w:p w14:paraId="4694E3D4" w14:textId="77777777" w:rsidR="003303D3" w:rsidRDefault="003303D3" w:rsidP="003303D3">
      <w:pPr>
        <w:pStyle w:val="body"/>
      </w:pPr>
    </w:p>
    <w:p w14:paraId="58F504EB" w14:textId="77777777" w:rsidR="003303D3" w:rsidRDefault="003303D3" w:rsidP="003303D3">
      <w:pPr>
        <w:pStyle w:val="body"/>
      </w:pPr>
      <w:r>
        <w:t>AAV has the ongoing challenge to replace existing government grants, such as the $275,000 annual grant from the Department of Health and Human Services, with other income streams to support the operation.</w:t>
      </w:r>
    </w:p>
    <w:p w14:paraId="4ACAA175" w14:textId="77777777" w:rsidR="003303D3" w:rsidRDefault="003303D3" w:rsidP="003303D3">
      <w:pPr>
        <w:pStyle w:val="body"/>
      </w:pPr>
    </w:p>
    <w:p w14:paraId="5AA0E988" w14:textId="77777777" w:rsidR="003303D3" w:rsidRDefault="003303D3" w:rsidP="003303D3">
      <w:pPr>
        <w:pStyle w:val="body"/>
      </w:pPr>
      <w:r>
        <w:t>The AAV financial position remains strong, as we work through the challenges of 2020 and beyond.</w:t>
      </w:r>
    </w:p>
    <w:p w14:paraId="6A2BF30D" w14:textId="77777777" w:rsidR="003303D3" w:rsidRDefault="003303D3" w:rsidP="003303D3">
      <w:pPr>
        <w:pStyle w:val="body"/>
      </w:pPr>
    </w:p>
    <w:p w14:paraId="186B49F8" w14:textId="37A6DD5F" w:rsidR="003303D3" w:rsidRDefault="003303D3" w:rsidP="003303D3">
      <w:pPr>
        <w:pStyle w:val="body"/>
        <w:rPr>
          <w:b/>
          <w:bCs/>
        </w:rPr>
      </w:pPr>
      <w:r>
        <w:t xml:space="preserve">For the full financial report, please go to </w:t>
      </w:r>
      <w:hyperlink r:id="rId14" w:history="1">
        <w:r w:rsidRPr="00F70DB6">
          <w:rPr>
            <w:rStyle w:val="Hyperlink"/>
            <w:b/>
            <w:bCs/>
          </w:rPr>
          <w:t>www.artsaccess.com.au/annual-reports</w:t>
        </w:r>
      </w:hyperlink>
      <w:r>
        <w:rPr>
          <w:b/>
          <w:bCs/>
        </w:rPr>
        <w:t>.</w:t>
      </w:r>
    </w:p>
    <w:p w14:paraId="178769EB" w14:textId="40F71F22" w:rsidR="00520FC2" w:rsidRDefault="00520FC2">
      <w:pPr>
        <w:rPr>
          <w:rFonts w:cstheme="minorHAnsi"/>
          <w:b/>
          <w:bCs/>
          <w:color w:val="2C2D35"/>
          <w:spacing w:val="-2"/>
          <w:sz w:val="28"/>
          <w:szCs w:val="28"/>
          <w:lang w:val="en-GB"/>
        </w:rPr>
      </w:pPr>
      <w:r>
        <w:rPr>
          <w:b/>
          <w:bCs/>
        </w:rPr>
        <w:br w:type="page"/>
      </w:r>
    </w:p>
    <w:p w14:paraId="65749F4C" w14:textId="77777777" w:rsidR="003303D3" w:rsidRDefault="003303D3" w:rsidP="003303D3">
      <w:pPr>
        <w:pStyle w:val="body"/>
      </w:pPr>
      <w:r>
        <w:lastRenderedPageBreak/>
        <w:t xml:space="preserve">Art Access Society Incorporated, Trading </w:t>
      </w:r>
      <w:proofErr w:type="gramStart"/>
      <w:r>
        <w:t>As</w:t>
      </w:r>
      <w:proofErr w:type="gramEnd"/>
      <w:r>
        <w:t xml:space="preserve"> Arts Access Victoria ABN 34 192 751 897</w:t>
      </w:r>
    </w:p>
    <w:p w14:paraId="46101F8B" w14:textId="77777777" w:rsidR="003303D3" w:rsidRDefault="003303D3" w:rsidP="003303D3">
      <w:pPr>
        <w:pStyle w:val="body"/>
      </w:pPr>
    </w:p>
    <w:p w14:paraId="12541E9C" w14:textId="5DEF1288" w:rsidR="003303D3" w:rsidRDefault="003303D3" w:rsidP="00520FC2">
      <w:pPr>
        <w:pStyle w:val="body"/>
      </w:pPr>
      <w:r>
        <w:t xml:space="preserve">Statement of Profit or Loss and Other Comprehensive Income </w:t>
      </w:r>
      <w:proofErr w:type="gramStart"/>
      <w:r>
        <w:t>For</w:t>
      </w:r>
      <w:proofErr w:type="gramEnd"/>
      <w:r>
        <w:t xml:space="preserve"> the Year Ending 31 December 2019</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32"/>
        <w:gridCol w:w="2665"/>
        <w:gridCol w:w="1751"/>
      </w:tblGrid>
      <w:tr w:rsidR="003303D3" w:rsidRPr="00B2121F" w14:paraId="1170BEA0" w14:textId="77777777" w:rsidTr="000D3966">
        <w:trPr>
          <w:trHeight w:val="454"/>
        </w:trPr>
        <w:tc>
          <w:tcPr>
            <w:tcW w:w="5932" w:type="dxa"/>
            <w:shd w:val="clear" w:color="auto" w:fill="D6EAF4"/>
            <w:vAlign w:val="center"/>
          </w:tcPr>
          <w:p w14:paraId="214CB125" w14:textId="77777777" w:rsidR="003303D3" w:rsidRPr="00B2121F" w:rsidRDefault="003303D3" w:rsidP="006A3035">
            <w:pPr>
              <w:pStyle w:val="TableParagraph"/>
              <w:rPr>
                <w:rFonts w:asciiTheme="minorHAnsi" w:hAnsiTheme="minorHAnsi" w:cstheme="minorHAnsi"/>
                <w:sz w:val="24"/>
              </w:rPr>
            </w:pPr>
          </w:p>
        </w:tc>
        <w:tc>
          <w:tcPr>
            <w:tcW w:w="2665" w:type="dxa"/>
            <w:shd w:val="clear" w:color="auto" w:fill="D6EAF4"/>
            <w:vAlign w:val="center"/>
          </w:tcPr>
          <w:p w14:paraId="1634A685" w14:textId="77777777" w:rsidR="003303D3" w:rsidRPr="00B2121F" w:rsidRDefault="003303D3" w:rsidP="000D3966">
            <w:pPr>
              <w:pStyle w:val="TableParagraph"/>
              <w:spacing w:before="181"/>
              <w:ind w:left="1453" w:right="239"/>
              <w:jc w:val="right"/>
              <w:rPr>
                <w:rFonts w:asciiTheme="minorHAnsi" w:hAnsiTheme="minorHAnsi" w:cstheme="minorHAnsi"/>
                <w:sz w:val="24"/>
              </w:rPr>
            </w:pPr>
            <w:r w:rsidRPr="00B2121F">
              <w:rPr>
                <w:rFonts w:asciiTheme="minorHAnsi" w:hAnsiTheme="minorHAnsi" w:cstheme="minorHAnsi"/>
                <w:w w:val="105"/>
                <w:sz w:val="24"/>
              </w:rPr>
              <w:t>DEC 19</w:t>
            </w:r>
          </w:p>
          <w:p w14:paraId="7CE4FA21" w14:textId="77777777" w:rsidR="003303D3" w:rsidRPr="00B2121F" w:rsidRDefault="003303D3" w:rsidP="000D3966">
            <w:pPr>
              <w:pStyle w:val="TableParagraph"/>
              <w:spacing w:before="89"/>
              <w:ind w:right="239"/>
              <w:jc w:val="right"/>
              <w:rPr>
                <w:rFonts w:asciiTheme="minorHAnsi" w:hAnsiTheme="minorHAnsi" w:cstheme="minorHAnsi"/>
                <w:sz w:val="24"/>
              </w:rPr>
            </w:pPr>
            <w:r w:rsidRPr="00B2121F">
              <w:rPr>
                <w:rFonts w:asciiTheme="minorHAnsi" w:hAnsiTheme="minorHAnsi" w:cstheme="minorHAnsi"/>
                <w:w w:val="104"/>
                <w:sz w:val="24"/>
              </w:rPr>
              <w:t>$</w:t>
            </w:r>
          </w:p>
        </w:tc>
        <w:tc>
          <w:tcPr>
            <w:tcW w:w="1751" w:type="dxa"/>
            <w:shd w:val="clear" w:color="auto" w:fill="D6EAF4"/>
            <w:vAlign w:val="center"/>
          </w:tcPr>
          <w:p w14:paraId="775CBE91" w14:textId="77777777" w:rsidR="003303D3" w:rsidRPr="00B2121F" w:rsidRDefault="003303D3" w:rsidP="006A3035">
            <w:pPr>
              <w:pStyle w:val="TableParagraph"/>
              <w:spacing w:before="181"/>
              <w:ind w:left="597"/>
              <w:rPr>
                <w:rFonts w:asciiTheme="minorHAnsi" w:hAnsiTheme="minorHAnsi" w:cstheme="minorHAnsi"/>
                <w:sz w:val="24"/>
              </w:rPr>
            </w:pPr>
            <w:r w:rsidRPr="00B2121F">
              <w:rPr>
                <w:rFonts w:asciiTheme="minorHAnsi" w:hAnsiTheme="minorHAnsi" w:cstheme="minorHAnsi"/>
                <w:w w:val="105"/>
                <w:sz w:val="24"/>
              </w:rPr>
              <w:t>DEC 18</w:t>
            </w:r>
          </w:p>
          <w:p w14:paraId="3C07C72C" w14:textId="77777777" w:rsidR="003303D3" w:rsidRPr="00B2121F" w:rsidRDefault="003303D3" w:rsidP="006A3035">
            <w:pPr>
              <w:pStyle w:val="TableParagraph"/>
              <w:spacing w:before="89"/>
              <w:ind w:left="1283"/>
              <w:rPr>
                <w:rFonts w:asciiTheme="minorHAnsi" w:hAnsiTheme="minorHAnsi" w:cstheme="minorHAnsi"/>
                <w:sz w:val="24"/>
              </w:rPr>
            </w:pPr>
            <w:r w:rsidRPr="00B2121F">
              <w:rPr>
                <w:rFonts w:asciiTheme="minorHAnsi" w:hAnsiTheme="minorHAnsi" w:cstheme="minorHAnsi"/>
                <w:w w:val="104"/>
                <w:sz w:val="24"/>
              </w:rPr>
              <w:t>$</w:t>
            </w:r>
          </w:p>
        </w:tc>
      </w:tr>
      <w:tr w:rsidR="003303D3" w:rsidRPr="00B2121F" w14:paraId="0165FE1A" w14:textId="77777777" w:rsidTr="006A3035">
        <w:trPr>
          <w:trHeight w:val="454"/>
        </w:trPr>
        <w:tc>
          <w:tcPr>
            <w:tcW w:w="5932" w:type="dxa"/>
            <w:vAlign w:val="center"/>
          </w:tcPr>
          <w:p w14:paraId="2D4DB939" w14:textId="77777777" w:rsidR="003303D3" w:rsidRPr="00B2121F" w:rsidRDefault="003303D3" w:rsidP="006A3035">
            <w:pPr>
              <w:pStyle w:val="TableParagraph"/>
              <w:spacing w:before="2"/>
              <w:rPr>
                <w:rFonts w:asciiTheme="minorHAnsi" w:hAnsiTheme="minorHAnsi" w:cstheme="minorHAnsi"/>
                <w:sz w:val="29"/>
              </w:rPr>
            </w:pPr>
          </w:p>
          <w:p w14:paraId="19C782EC" w14:textId="77777777" w:rsidR="003303D3" w:rsidRPr="00520FC2" w:rsidRDefault="003303D3" w:rsidP="006A3035">
            <w:pPr>
              <w:pStyle w:val="TableParagraph"/>
              <w:spacing w:before="1"/>
              <w:ind w:left="385"/>
              <w:rPr>
                <w:rFonts w:asciiTheme="minorHAnsi" w:hAnsiTheme="minorHAnsi" w:cstheme="minorHAnsi"/>
                <w:b/>
                <w:bCs/>
                <w:sz w:val="24"/>
              </w:rPr>
            </w:pPr>
            <w:r w:rsidRPr="00520FC2">
              <w:rPr>
                <w:rFonts w:asciiTheme="minorHAnsi" w:hAnsiTheme="minorHAnsi" w:cstheme="minorHAnsi"/>
                <w:b/>
                <w:bCs/>
                <w:w w:val="110"/>
                <w:sz w:val="24"/>
              </w:rPr>
              <w:t>Revenue</w:t>
            </w:r>
          </w:p>
        </w:tc>
        <w:tc>
          <w:tcPr>
            <w:tcW w:w="2665" w:type="dxa"/>
            <w:vAlign w:val="center"/>
          </w:tcPr>
          <w:p w14:paraId="15F64897" w14:textId="77777777" w:rsidR="003303D3" w:rsidRPr="00B2121F" w:rsidRDefault="003303D3" w:rsidP="006A3035">
            <w:pPr>
              <w:pStyle w:val="TableParagraph"/>
              <w:jc w:val="right"/>
              <w:rPr>
                <w:rFonts w:asciiTheme="minorHAnsi" w:hAnsiTheme="minorHAnsi" w:cstheme="minorHAnsi"/>
                <w:sz w:val="24"/>
              </w:rPr>
            </w:pPr>
          </w:p>
        </w:tc>
        <w:tc>
          <w:tcPr>
            <w:tcW w:w="1751" w:type="dxa"/>
            <w:vAlign w:val="center"/>
          </w:tcPr>
          <w:p w14:paraId="244B8CD1" w14:textId="77777777" w:rsidR="003303D3" w:rsidRPr="00B2121F" w:rsidRDefault="003303D3" w:rsidP="006A3035">
            <w:pPr>
              <w:pStyle w:val="TableParagraph"/>
              <w:jc w:val="right"/>
              <w:rPr>
                <w:rFonts w:asciiTheme="minorHAnsi" w:hAnsiTheme="minorHAnsi" w:cstheme="minorHAnsi"/>
                <w:sz w:val="24"/>
              </w:rPr>
            </w:pPr>
          </w:p>
        </w:tc>
      </w:tr>
      <w:tr w:rsidR="003303D3" w:rsidRPr="00B2121F" w14:paraId="36EBC754" w14:textId="77777777" w:rsidTr="006A3035">
        <w:trPr>
          <w:trHeight w:val="454"/>
        </w:trPr>
        <w:tc>
          <w:tcPr>
            <w:tcW w:w="5932" w:type="dxa"/>
            <w:vAlign w:val="center"/>
          </w:tcPr>
          <w:p w14:paraId="40D1EC8F" w14:textId="77777777" w:rsidR="003303D3" w:rsidRPr="00B2121F" w:rsidRDefault="003303D3" w:rsidP="006A3035">
            <w:pPr>
              <w:pStyle w:val="TableParagraph"/>
              <w:spacing w:before="44"/>
              <w:ind w:left="669"/>
              <w:rPr>
                <w:rFonts w:asciiTheme="minorHAnsi" w:hAnsiTheme="minorHAnsi" w:cstheme="minorHAnsi"/>
                <w:sz w:val="24"/>
              </w:rPr>
            </w:pPr>
            <w:r w:rsidRPr="00B2121F">
              <w:rPr>
                <w:rFonts w:asciiTheme="minorHAnsi" w:hAnsiTheme="minorHAnsi" w:cstheme="minorHAnsi"/>
                <w:w w:val="105"/>
                <w:sz w:val="24"/>
              </w:rPr>
              <w:t>Event income</w:t>
            </w:r>
          </w:p>
        </w:tc>
        <w:tc>
          <w:tcPr>
            <w:tcW w:w="2665" w:type="dxa"/>
            <w:vAlign w:val="center"/>
          </w:tcPr>
          <w:p w14:paraId="506CFDDF" w14:textId="77777777" w:rsidR="003303D3" w:rsidRPr="00B2121F" w:rsidRDefault="003303D3" w:rsidP="006A3035">
            <w:pPr>
              <w:pStyle w:val="TableParagraph"/>
              <w:spacing w:before="45"/>
              <w:ind w:right="378"/>
              <w:jc w:val="right"/>
              <w:rPr>
                <w:rFonts w:asciiTheme="minorHAnsi" w:hAnsiTheme="minorHAnsi" w:cstheme="minorHAnsi"/>
                <w:sz w:val="24"/>
              </w:rPr>
            </w:pPr>
            <w:r w:rsidRPr="00B2121F">
              <w:rPr>
                <w:rFonts w:asciiTheme="minorHAnsi" w:hAnsiTheme="minorHAnsi" w:cstheme="minorHAnsi"/>
                <w:w w:val="105"/>
                <w:sz w:val="24"/>
              </w:rPr>
              <w:t>2,476</w:t>
            </w:r>
          </w:p>
        </w:tc>
        <w:tc>
          <w:tcPr>
            <w:tcW w:w="1751" w:type="dxa"/>
            <w:vAlign w:val="center"/>
          </w:tcPr>
          <w:p w14:paraId="005423BD" w14:textId="77777777" w:rsidR="003303D3" w:rsidRPr="00B2121F" w:rsidRDefault="003303D3" w:rsidP="006A3035">
            <w:pPr>
              <w:pStyle w:val="TableParagraph"/>
              <w:spacing w:before="46"/>
              <w:ind w:right="575"/>
              <w:jc w:val="right"/>
              <w:rPr>
                <w:rFonts w:asciiTheme="minorHAnsi" w:hAnsiTheme="minorHAnsi" w:cstheme="minorHAnsi"/>
                <w:sz w:val="24"/>
              </w:rPr>
            </w:pPr>
            <w:r w:rsidRPr="00B2121F">
              <w:rPr>
                <w:rFonts w:asciiTheme="minorHAnsi" w:hAnsiTheme="minorHAnsi" w:cstheme="minorHAnsi"/>
                <w:w w:val="105"/>
                <w:sz w:val="24"/>
              </w:rPr>
              <w:t>2,509</w:t>
            </w:r>
          </w:p>
        </w:tc>
      </w:tr>
      <w:tr w:rsidR="003303D3" w:rsidRPr="00B2121F" w14:paraId="0804A277" w14:textId="77777777" w:rsidTr="006A3035">
        <w:trPr>
          <w:trHeight w:val="454"/>
        </w:trPr>
        <w:tc>
          <w:tcPr>
            <w:tcW w:w="5932" w:type="dxa"/>
            <w:vAlign w:val="center"/>
          </w:tcPr>
          <w:p w14:paraId="0E4AA7CE" w14:textId="77777777" w:rsidR="003303D3" w:rsidRPr="00B2121F" w:rsidRDefault="003303D3" w:rsidP="006A3035">
            <w:pPr>
              <w:pStyle w:val="TableParagraph"/>
              <w:spacing w:before="43"/>
              <w:ind w:left="669"/>
              <w:rPr>
                <w:rFonts w:asciiTheme="minorHAnsi" w:hAnsiTheme="minorHAnsi" w:cstheme="minorHAnsi"/>
                <w:sz w:val="24"/>
              </w:rPr>
            </w:pPr>
            <w:r w:rsidRPr="00B2121F">
              <w:rPr>
                <w:rFonts w:asciiTheme="minorHAnsi" w:hAnsiTheme="minorHAnsi" w:cstheme="minorHAnsi"/>
                <w:w w:val="105"/>
                <w:sz w:val="24"/>
              </w:rPr>
              <w:t>Activities Income</w:t>
            </w:r>
          </w:p>
        </w:tc>
        <w:tc>
          <w:tcPr>
            <w:tcW w:w="2665" w:type="dxa"/>
            <w:vAlign w:val="center"/>
          </w:tcPr>
          <w:p w14:paraId="611433DE" w14:textId="77777777" w:rsidR="003303D3" w:rsidRPr="00B2121F" w:rsidRDefault="003303D3" w:rsidP="006A3035">
            <w:pPr>
              <w:pStyle w:val="TableParagraph"/>
              <w:spacing w:before="44"/>
              <w:ind w:right="378"/>
              <w:jc w:val="right"/>
              <w:rPr>
                <w:rFonts w:asciiTheme="minorHAnsi" w:hAnsiTheme="minorHAnsi" w:cstheme="minorHAnsi"/>
                <w:sz w:val="24"/>
              </w:rPr>
            </w:pPr>
            <w:r w:rsidRPr="00B2121F">
              <w:rPr>
                <w:rFonts w:asciiTheme="minorHAnsi" w:hAnsiTheme="minorHAnsi" w:cstheme="minorHAnsi"/>
                <w:w w:val="105"/>
                <w:sz w:val="24"/>
              </w:rPr>
              <w:t>562,786</w:t>
            </w:r>
          </w:p>
        </w:tc>
        <w:tc>
          <w:tcPr>
            <w:tcW w:w="1751" w:type="dxa"/>
            <w:vAlign w:val="center"/>
          </w:tcPr>
          <w:p w14:paraId="5F16C807" w14:textId="77777777" w:rsidR="003303D3" w:rsidRPr="00B2121F" w:rsidRDefault="003303D3" w:rsidP="006A3035">
            <w:pPr>
              <w:pStyle w:val="TableParagraph"/>
              <w:spacing w:before="45"/>
              <w:ind w:right="570"/>
              <w:jc w:val="right"/>
              <w:rPr>
                <w:rFonts w:asciiTheme="minorHAnsi" w:hAnsiTheme="minorHAnsi" w:cstheme="minorHAnsi"/>
                <w:sz w:val="24"/>
              </w:rPr>
            </w:pPr>
            <w:r w:rsidRPr="00B2121F">
              <w:rPr>
                <w:rFonts w:asciiTheme="minorHAnsi" w:hAnsiTheme="minorHAnsi" w:cstheme="minorHAnsi"/>
                <w:sz w:val="24"/>
              </w:rPr>
              <w:t>318,437</w:t>
            </w:r>
          </w:p>
        </w:tc>
      </w:tr>
      <w:tr w:rsidR="003303D3" w:rsidRPr="00B2121F" w14:paraId="1EF77199" w14:textId="77777777" w:rsidTr="006A3035">
        <w:trPr>
          <w:trHeight w:val="454"/>
        </w:trPr>
        <w:tc>
          <w:tcPr>
            <w:tcW w:w="5932" w:type="dxa"/>
            <w:vAlign w:val="center"/>
          </w:tcPr>
          <w:p w14:paraId="34D9749D" w14:textId="77777777" w:rsidR="003303D3" w:rsidRPr="00B2121F" w:rsidRDefault="003303D3" w:rsidP="006A3035">
            <w:pPr>
              <w:pStyle w:val="TableParagraph"/>
              <w:spacing w:before="43"/>
              <w:ind w:left="669"/>
              <w:rPr>
                <w:rFonts w:asciiTheme="minorHAnsi" w:hAnsiTheme="minorHAnsi" w:cstheme="minorHAnsi"/>
                <w:sz w:val="24"/>
              </w:rPr>
            </w:pPr>
            <w:r w:rsidRPr="00B2121F">
              <w:rPr>
                <w:rFonts w:asciiTheme="minorHAnsi" w:hAnsiTheme="minorHAnsi" w:cstheme="minorHAnsi"/>
                <w:w w:val="105"/>
                <w:sz w:val="24"/>
              </w:rPr>
              <w:t>Private Sector and Other Income</w:t>
            </w:r>
          </w:p>
        </w:tc>
        <w:tc>
          <w:tcPr>
            <w:tcW w:w="2665" w:type="dxa"/>
            <w:vAlign w:val="center"/>
          </w:tcPr>
          <w:p w14:paraId="155B8C85" w14:textId="77777777" w:rsidR="003303D3" w:rsidRPr="00B2121F" w:rsidRDefault="003303D3" w:rsidP="006A3035">
            <w:pPr>
              <w:pStyle w:val="TableParagraph"/>
              <w:spacing w:before="44"/>
              <w:ind w:right="383"/>
              <w:jc w:val="right"/>
              <w:rPr>
                <w:rFonts w:asciiTheme="minorHAnsi" w:hAnsiTheme="minorHAnsi" w:cstheme="minorHAnsi"/>
                <w:sz w:val="24"/>
              </w:rPr>
            </w:pPr>
            <w:r w:rsidRPr="00B2121F">
              <w:rPr>
                <w:rFonts w:asciiTheme="minorHAnsi" w:hAnsiTheme="minorHAnsi" w:cstheme="minorHAnsi"/>
                <w:w w:val="105"/>
                <w:sz w:val="24"/>
              </w:rPr>
              <w:t>9,002</w:t>
            </w:r>
          </w:p>
        </w:tc>
        <w:tc>
          <w:tcPr>
            <w:tcW w:w="1751" w:type="dxa"/>
            <w:vAlign w:val="center"/>
          </w:tcPr>
          <w:p w14:paraId="742A89DA" w14:textId="77777777" w:rsidR="003303D3" w:rsidRPr="00B2121F" w:rsidRDefault="003303D3" w:rsidP="006A3035">
            <w:pPr>
              <w:pStyle w:val="TableParagraph"/>
              <w:spacing w:before="45"/>
              <w:ind w:right="570"/>
              <w:jc w:val="right"/>
              <w:rPr>
                <w:rFonts w:asciiTheme="minorHAnsi" w:hAnsiTheme="minorHAnsi" w:cstheme="minorHAnsi"/>
                <w:sz w:val="24"/>
              </w:rPr>
            </w:pPr>
            <w:r w:rsidRPr="00B2121F">
              <w:rPr>
                <w:rFonts w:asciiTheme="minorHAnsi" w:hAnsiTheme="minorHAnsi" w:cstheme="minorHAnsi"/>
                <w:w w:val="105"/>
                <w:sz w:val="24"/>
              </w:rPr>
              <w:t>18,190</w:t>
            </w:r>
          </w:p>
        </w:tc>
      </w:tr>
      <w:tr w:rsidR="003303D3" w:rsidRPr="00B2121F" w14:paraId="33A9E214" w14:textId="77777777" w:rsidTr="006A3035">
        <w:trPr>
          <w:trHeight w:val="454"/>
        </w:trPr>
        <w:tc>
          <w:tcPr>
            <w:tcW w:w="5932" w:type="dxa"/>
            <w:vAlign w:val="center"/>
          </w:tcPr>
          <w:p w14:paraId="15CDC8BC" w14:textId="77777777" w:rsidR="003303D3" w:rsidRPr="00B2121F" w:rsidRDefault="003303D3" w:rsidP="006A3035">
            <w:pPr>
              <w:pStyle w:val="TableParagraph"/>
              <w:spacing w:before="43"/>
              <w:ind w:left="669"/>
              <w:rPr>
                <w:rFonts w:asciiTheme="minorHAnsi" w:hAnsiTheme="minorHAnsi" w:cstheme="minorHAnsi"/>
                <w:sz w:val="24"/>
              </w:rPr>
            </w:pPr>
            <w:r w:rsidRPr="00B2121F">
              <w:rPr>
                <w:rFonts w:asciiTheme="minorHAnsi" w:hAnsiTheme="minorHAnsi" w:cstheme="minorHAnsi"/>
                <w:w w:val="105"/>
                <w:sz w:val="24"/>
              </w:rPr>
              <w:t>Interest Income</w:t>
            </w:r>
          </w:p>
        </w:tc>
        <w:tc>
          <w:tcPr>
            <w:tcW w:w="2665" w:type="dxa"/>
            <w:vAlign w:val="center"/>
          </w:tcPr>
          <w:p w14:paraId="129A9916" w14:textId="77777777" w:rsidR="003303D3" w:rsidRPr="00B2121F" w:rsidRDefault="003303D3" w:rsidP="006A3035">
            <w:pPr>
              <w:pStyle w:val="TableParagraph"/>
              <w:spacing w:before="44"/>
              <w:ind w:right="384"/>
              <w:jc w:val="right"/>
              <w:rPr>
                <w:rFonts w:asciiTheme="minorHAnsi" w:hAnsiTheme="minorHAnsi" w:cstheme="minorHAnsi"/>
                <w:sz w:val="24"/>
              </w:rPr>
            </w:pPr>
            <w:r w:rsidRPr="00B2121F">
              <w:rPr>
                <w:rFonts w:asciiTheme="minorHAnsi" w:hAnsiTheme="minorHAnsi" w:cstheme="minorHAnsi"/>
                <w:w w:val="105"/>
                <w:sz w:val="24"/>
              </w:rPr>
              <w:t>41,958</w:t>
            </w:r>
          </w:p>
        </w:tc>
        <w:tc>
          <w:tcPr>
            <w:tcW w:w="1751" w:type="dxa"/>
            <w:vAlign w:val="center"/>
          </w:tcPr>
          <w:p w14:paraId="4FEF8ABA" w14:textId="77777777" w:rsidR="003303D3" w:rsidRPr="00B2121F" w:rsidRDefault="003303D3" w:rsidP="006A3035">
            <w:pPr>
              <w:pStyle w:val="TableParagraph"/>
              <w:spacing w:before="45"/>
              <w:ind w:right="570"/>
              <w:jc w:val="right"/>
              <w:rPr>
                <w:rFonts w:asciiTheme="minorHAnsi" w:hAnsiTheme="minorHAnsi" w:cstheme="minorHAnsi"/>
                <w:sz w:val="24"/>
              </w:rPr>
            </w:pPr>
            <w:r w:rsidRPr="00B2121F">
              <w:rPr>
                <w:rFonts w:asciiTheme="minorHAnsi" w:hAnsiTheme="minorHAnsi" w:cstheme="minorHAnsi"/>
                <w:w w:val="105"/>
                <w:sz w:val="24"/>
              </w:rPr>
              <w:t>42,530</w:t>
            </w:r>
          </w:p>
        </w:tc>
      </w:tr>
      <w:tr w:rsidR="003303D3" w:rsidRPr="00B2121F" w14:paraId="6CD28E42" w14:textId="77777777" w:rsidTr="006A3035">
        <w:trPr>
          <w:trHeight w:val="454"/>
        </w:trPr>
        <w:tc>
          <w:tcPr>
            <w:tcW w:w="5932" w:type="dxa"/>
            <w:vAlign w:val="center"/>
          </w:tcPr>
          <w:p w14:paraId="1752F14F" w14:textId="77777777" w:rsidR="003303D3" w:rsidRPr="00B2121F" w:rsidRDefault="003303D3" w:rsidP="006A3035">
            <w:pPr>
              <w:pStyle w:val="TableParagraph"/>
              <w:spacing w:before="43"/>
              <w:ind w:left="385"/>
              <w:rPr>
                <w:rFonts w:asciiTheme="minorHAnsi" w:hAnsiTheme="minorHAnsi" w:cstheme="minorHAnsi"/>
                <w:sz w:val="24"/>
              </w:rPr>
            </w:pPr>
            <w:r w:rsidRPr="00B2121F">
              <w:rPr>
                <w:rFonts w:asciiTheme="minorHAnsi" w:hAnsiTheme="minorHAnsi" w:cstheme="minorHAnsi"/>
                <w:w w:val="105"/>
                <w:sz w:val="24"/>
              </w:rPr>
              <w:t>* Government Grants Operation</w:t>
            </w:r>
          </w:p>
        </w:tc>
        <w:tc>
          <w:tcPr>
            <w:tcW w:w="2665" w:type="dxa"/>
            <w:vAlign w:val="center"/>
          </w:tcPr>
          <w:p w14:paraId="64002795" w14:textId="77777777" w:rsidR="003303D3" w:rsidRPr="00B2121F" w:rsidRDefault="003303D3" w:rsidP="006A3035">
            <w:pPr>
              <w:pStyle w:val="TableParagraph"/>
              <w:spacing w:before="44"/>
              <w:ind w:right="378"/>
              <w:jc w:val="right"/>
              <w:rPr>
                <w:rFonts w:asciiTheme="minorHAnsi" w:hAnsiTheme="minorHAnsi" w:cstheme="minorHAnsi"/>
                <w:sz w:val="24"/>
              </w:rPr>
            </w:pPr>
            <w:r w:rsidRPr="00B2121F">
              <w:rPr>
                <w:rFonts w:asciiTheme="minorHAnsi" w:hAnsiTheme="minorHAnsi" w:cstheme="minorHAnsi"/>
                <w:w w:val="105"/>
                <w:sz w:val="24"/>
              </w:rPr>
              <w:t>1,406,806</w:t>
            </w:r>
          </w:p>
        </w:tc>
        <w:tc>
          <w:tcPr>
            <w:tcW w:w="1751" w:type="dxa"/>
            <w:vAlign w:val="center"/>
          </w:tcPr>
          <w:p w14:paraId="74FB6EB2" w14:textId="77777777" w:rsidR="003303D3" w:rsidRPr="00B2121F" w:rsidRDefault="003303D3" w:rsidP="006A3035">
            <w:pPr>
              <w:pStyle w:val="TableParagraph"/>
              <w:spacing w:before="45"/>
              <w:ind w:right="570"/>
              <w:jc w:val="right"/>
              <w:rPr>
                <w:rFonts w:asciiTheme="minorHAnsi" w:hAnsiTheme="minorHAnsi" w:cstheme="minorHAnsi"/>
                <w:sz w:val="24"/>
              </w:rPr>
            </w:pPr>
            <w:r w:rsidRPr="00B2121F">
              <w:rPr>
                <w:rFonts w:asciiTheme="minorHAnsi" w:hAnsiTheme="minorHAnsi" w:cstheme="minorHAnsi"/>
                <w:w w:val="105"/>
                <w:sz w:val="24"/>
              </w:rPr>
              <w:t>1,693,760</w:t>
            </w:r>
          </w:p>
        </w:tc>
      </w:tr>
      <w:tr w:rsidR="003303D3" w:rsidRPr="00B2121F" w14:paraId="2211A75C" w14:textId="77777777" w:rsidTr="006A3035">
        <w:trPr>
          <w:trHeight w:val="454"/>
        </w:trPr>
        <w:tc>
          <w:tcPr>
            <w:tcW w:w="5932" w:type="dxa"/>
            <w:vAlign w:val="center"/>
          </w:tcPr>
          <w:p w14:paraId="64A873E2" w14:textId="77777777" w:rsidR="003303D3" w:rsidRPr="00B2121F" w:rsidRDefault="003303D3" w:rsidP="006A3035">
            <w:pPr>
              <w:pStyle w:val="TableParagraph"/>
              <w:spacing w:before="43"/>
              <w:ind w:left="385"/>
              <w:rPr>
                <w:rFonts w:asciiTheme="minorHAnsi" w:hAnsiTheme="minorHAnsi" w:cstheme="minorHAnsi"/>
                <w:sz w:val="24"/>
              </w:rPr>
            </w:pPr>
            <w:r w:rsidRPr="00B2121F">
              <w:rPr>
                <w:rFonts w:asciiTheme="minorHAnsi" w:hAnsiTheme="minorHAnsi" w:cstheme="minorHAnsi"/>
                <w:w w:val="105"/>
                <w:sz w:val="24"/>
              </w:rPr>
              <w:t>* Government Grants Projects</w:t>
            </w:r>
          </w:p>
        </w:tc>
        <w:tc>
          <w:tcPr>
            <w:tcW w:w="2665" w:type="dxa"/>
            <w:vAlign w:val="center"/>
          </w:tcPr>
          <w:p w14:paraId="2D729353" w14:textId="77777777" w:rsidR="003303D3" w:rsidRPr="00B2121F" w:rsidRDefault="003303D3" w:rsidP="006A3035">
            <w:pPr>
              <w:pStyle w:val="TableParagraph"/>
              <w:spacing w:before="44"/>
              <w:ind w:right="378"/>
              <w:jc w:val="right"/>
              <w:rPr>
                <w:rFonts w:asciiTheme="minorHAnsi" w:hAnsiTheme="minorHAnsi" w:cstheme="minorHAnsi"/>
                <w:sz w:val="24"/>
              </w:rPr>
            </w:pPr>
            <w:r w:rsidRPr="00B2121F">
              <w:rPr>
                <w:rFonts w:asciiTheme="minorHAnsi" w:hAnsiTheme="minorHAnsi" w:cstheme="minorHAnsi"/>
                <w:sz w:val="24"/>
              </w:rPr>
              <w:t>229,925</w:t>
            </w:r>
          </w:p>
        </w:tc>
        <w:tc>
          <w:tcPr>
            <w:tcW w:w="1751" w:type="dxa"/>
            <w:vAlign w:val="center"/>
          </w:tcPr>
          <w:p w14:paraId="1F8A920C" w14:textId="77777777" w:rsidR="003303D3" w:rsidRPr="00B2121F" w:rsidRDefault="003303D3" w:rsidP="006A3035">
            <w:pPr>
              <w:pStyle w:val="TableParagraph"/>
              <w:spacing w:before="45"/>
              <w:ind w:right="575"/>
              <w:jc w:val="right"/>
              <w:rPr>
                <w:rFonts w:asciiTheme="minorHAnsi" w:hAnsiTheme="minorHAnsi" w:cstheme="minorHAnsi"/>
                <w:sz w:val="24"/>
              </w:rPr>
            </w:pPr>
            <w:r w:rsidRPr="00B2121F">
              <w:rPr>
                <w:rFonts w:asciiTheme="minorHAnsi" w:hAnsiTheme="minorHAnsi" w:cstheme="minorHAnsi"/>
                <w:w w:val="105"/>
                <w:sz w:val="24"/>
              </w:rPr>
              <w:t>134,709</w:t>
            </w:r>
          </w:p>
        </w:tc>
      </w:tr>
      <w:tr w:rsidR="003303D3" w:rsidRPr="00B2121F" w14:paraId="686667CA" w14:textId="77777777" w:rsidTr="006A3035">
        <w:trPr>
          <w:trHeight w:val="454"/>
        </w:trPr>
        <w:tc>
          <w:tcPr>
            <w:tcW w:w="5932" w:type="dxa"/>
            <w:vAlign w:val="center"/>
          </w:tcPr>
          <w:p w14:paraId="1A4E3576" w14:textId="17ACBC9F" w:rsidR="003303D3" w:rsidRPr="00B2121F" w:rsidRDefault="003303D3" w:rsidP="006A3035">
            <w:pPr>
              <w:pStyle w:val="TableParagraph"/>
              <w:spacing w:before="43"/>
              <w:ind w:left="601" w:right="1128"/>
              <w:rPr>
                <w:rFonts w:asciiTheme="minorHAnsi" w:hAnsiTheme="minorHAnsi" w:cstheme="minorHAnsi"/>
                <w:sz w:val="24"/>
              </w:rPr>
            </w:pPr>
            <w:r w:rsidRPr="00B2121F">
              <w:rPr>
                <w:rFonts w:asciiTheme="minorHAnsi" w:hAnsiTheme="minorHAnsi" w:cstheme="minorHAnsi"/>
                <w:w w:val="105"/>
                <w:sz w:val="24"/>
              </w:rPr>
              <w:t>Funds Brought Forward from Last Year</w:t>
            </w:r>
          </w:p>
        </w:tc>
        <w:tc>
          <w:tcPr>
            <w:tcW w:w="2665" w:type="dxa"/>
            <w:vAlign w:val="center"/>
          </w:tcPr>
          <w:p w14:paraId="4565BCD2" w14:textId="77777777" w:rsidR="003303D3" w:rsidRPr="00B2121F" w:rsidRDefault="003303D3" w:rsidP="006A3035">
            <w:pPr>
              <w:pStyle w:val="TableParagraph"/>
              <w:spacing w:before="44"/>
              <w:ind w:right="383"/>
              <w:jc w:val="right"/>
              <w:rPr>
                <w:rFonts w:asciiTheme="minorHAnsi" w:hAnsiTheme="minorHAnsi" w:cstheme="minorHAnsi"/>
                <w:sz w:val="24"/>
              </w:rPr>
            </w:pPr>
            <w:r w:rsidRPr="00B2121F">
              <w:rPr>
                <w:rFonts w:asciiTheme="minorHAnsi" w:hAnsiTheme="minorHAnsi" w:cstheme="minorHAnsi"/>
                <w:sz w:val="24"/>
              </w:rPr>
              <w:t>262,262</w:t>
            </w:r>
          </w:p>
        </w:tc>
        <w:tc>
          <w:tcPr>
            <w:tcW w:w="1751" w:type="dxa"/>
            <w:vAlign w:val="center"/>
          </w:tcPr>
          <w:p w14:paraId="6B098CAB" w14:textId="77777777" w:rsidR="003303D3" w:rsidRPr="00B2121F" w:rsidRDefault="003303D3" w:rsidP="006A3035">
            <w:pPr>
              <w:pStyle w:val="TableParagraph"/>
              <w:spacing w:before="45"/>
              <w:ind w:right="575"/>
              <w:jc w:val="right"/>
              <w:rPr>
                <w:rFonts w:asciiTheme="minorHAnsi" w:hAnsiTheme="minorHAnsi" w:cstheme="minorHAnsi"/>
                <w:sz w:val="24"/>
              </w:rPr>
            </w:pPr>
            <w:r w:rsidRPr="00B2121F">
              <w:rPr>
                <w:rFonts w:asciiTheme="minorHAnsi" w:hAnsiTheme="minorHAnsi" w:cstheme="minorHAnsi"/>
                <w:sz w:val="24"/>
              </w:rPr>
              <w:t>433,848</w:t>
            </w:r>
          </w:p>
        </w:tc>
      </w:tr>
      <w:tr w:rsidR="003303D3" w:rsidRPr="00B2121F" w14:paraId="7F0B008E" w14:textId="77777777" w:rsidTr="006A3035">
        <w:trPr>
          <w:trHeight w:val="454"/>
        </w:trPr>
        <w:tc>
          <w:tcPr>
            <w:tcW w:w="5932" w:type="dxa"/>
            <w:vAlign w:val="center"/>
          </w:tcPr>
          <w:p w14:paraId="3BA8B156" w14:textId="77777777" w:rsidR="003303D3" w:rsidRPr="00B2121F" w:rsidRDefault="003303D3" w:rsidP="006A3035">
            <w:pPr>
              <w:pStyle w:val="TableParagraph"/>
              <w:spacing w:before="43"/>
              <w:ind w:left="669"/>
              <w:rPr>
                <w:rFonts w:asciiTheme="minorHAnsi" w:hAnsiTheme="minorHAnsi" w:cstheme="minorHAnsi"/>
                <w:sz w:val="24"/>
              </w:rPr>
            </w:pPr>
            <w:r w:rsidRPr="00B2121F">
              <w:rPr>
                <w:rFonts w:asciiTheme="minorHAnsi" w:hAnsiTheme="minorHAnsi" w:cstheme="minorHAnsi"/>
                <w:w w:val="105"/>
                <w:sz w:val="24"/>
              </w:rPr>
              <w:t>Funds Transferred to Next Year</w:t>
            </w:r>
          </w:p>
        </w:tc>
        <w:tc>
          <w:tcPr>
            <w:tcW w:w="2665" w:type="dxa"/>
            <w:vAlign w:val="center"/>
          </w:tcPr>
          <w:p w14:paraId="51A7FADF" w14:textId="77777777" w:rsidR="003303D3" w:rsidRPr="00B2121F" w:rsidRDefault="003303D3" w:rsidP="006A3035">
            <w:pPr>
              <w:pStyle w:val="TableParagraph"/>
              <w:spacing w:before="44"/>
              <w:ind w:right="378"/>
              <w:jc w:val="right"/>
              <w:rPr>
                <w:rFonts w:asciiTheme="minorHAnsi" w:hAnsiTheme="minorHAnsi" w:cstheme="minorHAnsi"/>
                <w:sz w:val="24"/>
              </w:rPr>
            </w:pPr>
            <w:r w:rsidRPr="00B2121F">
              <w:rPr>
                <w:rFonts w:asciiTheme="minorHAnsi" w:hAnsiTheme="minorHAnsi" w:cstheme="minorHAnsi"/>
                <w:w w:val="105"/>
                <w:sz w:val="24"/>
              </w:rPr>
              <w:t>(175,041)</w:t>
            </w:r>
          </w:p>
        </w:tc>
        <w:tc>
          <w:tcPr>
            <w:tcW w:w="1751" w:type="dxa"/>
            <w:vAlign w:val="center"/>
          </w:tcPr>
          <w:p w14:paraId="3450138E" w14:textId="77777777" w:rsidR="003303D3" w:rsidRPr="00B2121F" w:rsidRDefault="003303D3" w:rsidP="006A3035">
            <w:pPr>
              <w:pStyle w:val="TableParagraph"/>
              <w:spacing w:before="45"/>
              <w:ind w:right="570"/>
              <w:jc w:val="right"/>
              <w:rPr>
                <w:rFonts w:asciiTheme="minorHAnsi" w:hAnsiTheme="minorHAnsi" w:cstheme="minorHAnsi"/>
                <w:sz w:val="24"/>
              </w:rPr>
            </w:pPr>
            <w:r w:rsidRPr="00B2121F">
              <w:rPr>
                <w:rFonts w:asciiTheme="minorHAnsi" w:hAnsiTheme="minorHAnsi" w:cstheme="minorHAnsi"/>
                <w:w w:val="105"/>
                <w:sz w:val="24"/>
              </w:rPr>
              <w:t>(262,262)</w:t>
            </w:r>
          </w:p>
        </w:tc>
      </w:tr>
      <w:tr w:rsidR="003303D3" w:rsidRPr="00B2121F" w14:paraId="7B281ED4" w14:textId="77777777" w:rsidTr="006A3035">
        <w:trPr>
          <w:trHeight w:val="454"/>
        </w:trPr>
        <w:tc>
          <w:tcPr>
            <w:tcW w:w="5932" w:type="dxa"/>
            <w:shd w:val="clear" w:color="auto" w:fill="D6EAF4"/>
            <w:vAlign w:val="center"/>
          </w:tcPr>
          <w:p w14:paraId="64213CD9" w14:textId="77777777" w:rsidR="003303D3" w:rsidRPr="00520FC2" w:rsidRDefault="003303D3" w:rsidP="006A3035">
            <w:pPr>
              <w:pStyle w:val="TableParagraph"/>
              <w:spacing w:before="33"/>
              <w:ind w:left="385"/>
              <w:rPr>
                <w:rFonts w:asciiTheme="minorHAnsi" w:hAnsiTheme="minorHAnsi" w:cstheme="minorHAnsi"/>
                <w:b/>
                <w:bCs/>
                <w:sz w:val="24"/>
              </w:rPr>
            </w:pPr>
            <w:r w:rsidRPr="00520FC2">
              <w:rPr>
                <w:rFonts w:asciiTheme="minorHAnsi" w:hAnsiTheme="minorHAnsi" w:cstheme="minorHAnsi"/>
                <w:b/>
                <w:bCs/>
                <w:w w:val="115"/>
                <w:sz w:val="24"/>
              </w:rPr>
              <w:t>Total Revenue from Ordinary Activities</w:t>
            </w:r>
          </w:p>
        </w:tc>
        <w:tc>
          <w:tcPr>
            <w:tcW w:w="2665" w:type="dxa"/>
            <w:shd w:val="clear" w:color="auto" w:fill="D6EAF4"/>
            <w:vAlign w:val="center"/>
          </w:tcPr>
          <w:p w14:paraId="6A283502" w14:textId="77777777" w:rsidR="003303D3" w:rsidRPr="00B2121F" w:rsidRDefault="003303D3" w:rsidP="006A3035">
            <w:pPr>
              <w:pStyle w:val="TableParagraph"/>
              <w:spacing w:before="34"/>
              <w:ind w:right="388"/>
              <w:jc w:val="right"/>
              <w:rPr>
                <w:rFonts w:asciiTheme="minorHAnsi" w:hAnsiTheme="minorHAnsi" w:cstheme="minorHAnsi"/>
                <w:sz w:val="24"/>
              </w:rPr>
            </w:pPr>
            <w:r w:rsidRPr="00B2121F">
              <w:rPr>
                <w:rFonts w:asciiTheme="minorHAnsi" w:hAnsiTheme="minorHAnsi" w:cstheme="minorHAnsi"/>
                <w:w w:val="115"/>
                <w:sz w:val="24"/>
              </w:rPr>
              <w:t>2,340,174</w:t>
            </w:r>
          </w:p>
        </w:tc>
        <w:tc>
          <w:tcPr>
            <w:tcW w:w="1751" w:type="dxa"/>
            <w:shd w:val="clear" w:color="auto" w:fill="D6EAF4"/>
            <w:vAlign w:val="center"/>
          </w:tcPr>
          <w:p w14:paraId="23868850" w14:textId="77777777" w:rsidR="003303D3" w:rsidRPr="00B2121F" w:rsidRDefault="003303D3" w:rsidP="006A3035">
            <w:pPr>
              <w:pStyle w:val="TableParagraph"/>
              <w:spacing w:before="35"/>
              <w:ind w:right="570"/>
              <w:jc w:val="right"/>
              <w:rPr>
                <w:rFonts w:asciiTheme="minorHAnsi" w:hAnsiTheme="minorHAnsi" w:cstheme="minorHAnsi"/>
                <w:sz w:val="24"/>
              </w:rPr>
            </w:pPr>
            <w:r w:rsidRPr="00B2121F">
              <w:rPr>
                <w:rFonts w:asciiTheme="minorHAnsi" w:hAnsiTheme="minorHAnsi" w:cstheme="minorHAnsi"/>
                <w:w w:val="115"/>
                <w:sz w:val="24"/>
              </w:rPr>
              <w:t>2,381,721</w:t>
            </w:r>
          </w:p>
        </w:tc>
      </w:tr>
      <w:tr w:rsidR="003303D3" w:rsidRPr="00B2121F" w14:paraId="5372994F" w14:textId="77777777" w:rsidTr="006A3035">
        <w:trPr>
          <w:trHeight w:val="454"/>
        </w:trPr>
        <w:tc>
          <w:tcPr>
            <w:tcW w:w="5932" w:type="dxa"/>
            <w:vAlign w:val="center"/>
          </w:tcPr>
          <w:p w14:paraId="4D33ACF1" w14:textId="77777777" w:rsidR="003303D3" w:rsidRPr="00B2121F" w:rsidRDefault="003303D3" w:rsidP="006A3035">
            <w:pPr>
              <w:pStyle w:val="TableParagraph"/>
              <w:spacing w:before="11"/>
              <w:rPr>
                <w:rFonts w:asciiTheme="minorHAnsi" w:hAnsiTheme="minorHAnsi" w:cstheme="minorHAnsi"/>
                <w:sz w:val="31"/>
              </w:rPr>
            </w:pPr>
          </w:p>
          <w:p w14:paraId="527E7231" w14:textId="77777777" w:rsidR="003303D3" w:rsidRPr="00520FC2" w:rsidRDefault="003303D3" w:rsidP="006A3035">
            <w:pPr>
              <w:pStyle w:val="TableParagraph"/>
              <w:ind w:left="385"/>
              <w:rPr>
                <w:rFonts w:asciiTheme="minorHAnsi" w:hAnsiTheme="minorHAnsi" w:cstheme="minorHAnsi"/>
                <w:b/>
                <w:bCs/>
                <w:sz w:val="24"/>
              </w:rPr>
            </w:pPr>
            <w:r w:rsidRPr="00520FC2">
              <w:rPr>
                <w:rFonts w:asciiTheme="minorHAnsi" w:hAnsiTheme="minorHAnsi" w:cstheme="minorHAnsi"/>
                <w:b/>
                <w:bCs/>
                <w:w w:val="110"/>
                <w:sz w:val="24"/>
              </w:rPr>
              <w:t>Expenses</w:t>
            </w:r>
          </w:p>
        </w:tc>
        <w:tc>
          <w:tcPr>
            <w:tcW w:w="2665" w:type="dxa"/>
            <w:vAlign w:val="center"/>
          </w:tcPr>
          <w:p w14:paraId="57EF9711" w14:textId="77777777" w:rsidR="003303D3" w:rsidRPr="00B2121F" w:rsidRDefault="003303D3" w:rsidP="006A3035">
            <w:pPr>
              <w:pStyle w:val="TableParagraph"/>
              <w:jc w:val="right"/>
              <w:rPr>
                <w:rFonts w:asciiTheme="minorHAnsi" w:hAnsiTheme="minorHAnsi" w:cstheme="minorHAnsi"/>
                <w:sz w:val="24"/>
              </w:rPr>
            </w:pPr>
          </w:p>
        </w:tc>
        <w:tc>
          <w:tcPr>
            <w:tcW w:w="1751" w:type="dxa"/>
            <w:vAlign w:val="center"/>
          </w:tcPr>
          <w:p w14:paraId="1D835C24" w14:textId="77777777" w:rsidR="003303D3" w:rsidRPr="00B2121F" w:rsidRDefault="003303D3" w:rsidP="006A3035">
            <w:pPr>
              <w:pStyle w:val="TableParagraph"/>
              <w:jc w:val="right"/>
              <w:rPr>
                <w:rFonts w:asciiTheme="minorHAnsi" w:hAnsiTheme="minorHAnsi" w:cstheme="minorHAnsi"/>
                <w:sz w:val="24"/>
              </w:rPr>
            </w:pPr>
          </w:p>
        </w:tc>
      </w:tr>
      <w:tr w:rsidR="003303D3" w:rsidRPr="00B2121F" w14:paraId="28F67195" w14:textId="77777777" w:rsidTr="006A3035">
        <w:trPr>
          <w:trHeight w:val="454"/>
        </w:trPr>
        <w:tc>
          <w:tcPr>
            <w:tcW w:w="5932" w:type="dxa"/>
            <w:vAlign w:val="center"/>
          </w:tcPr>
          <w:p w14:paraId="6E70496F" w14:textId="77777777" w:rsidR="003303D3" w:rsidRPr="00B2121F" w:rsidRDefault="003303D3" w:rsidP="006A3035">
            <w:pPr>
              <w:pStyle w:val="TableParagraph"/>
              <w:spacing w:before="44"/>
              <w:ind w:left="669"/>
              <w:rPr>
                <w:rFonts w:asciiTheme="minorHAnsi" w:hAnsiTheme="minorHAnsi" w:cstheme="minorHAnsi"/>
                <w:sz w:val="24"/>
              </w:rPr>
            </w:pPr>
            <w:r w:rsidRPr="00B2121F">
              <w:rPr>
                <w:rFonts w:asciiTheme="minorHAnsi" w:hAnsiTheme="minorHAnsi" w:cstheme="minorHAnsi"/>
                <w:w w:val="105"/>
                <w:sz w:val="24"/>
              </w:rPr>
              <w:t>Salaries, Wages and Artist Fees</w:t>
            </w:r>
          </w:p>
        </w:tc>
        <w:tc>
          <w:tcPr>
            <w:tcW w:w="2665" w:type="dxa"/>
            <w:vAlign w:val="center"/>
          </w:tcPr>
          <w:p w14:paraId="64BE0A14" w14:textId="77777777" w:rsidR="003303D3" w:rsidRPr="00B2121F" w:rsidRDefault="003303D3" w:rsidP="006A3035">
            <w:pPr>
              <w:pStyle w:val="TableParagraph"/>
              <w:spacing w:before="45"/>
              <w:ind w:right="378"/>
              <w:jc w:val="right"/>
              <w:rPr>
                <w:rFonts w:asciiTheme="minorHAnsi" w:hAnsiTheme="minorHAnsi" w:cstheme="minorHAnsi"/>
                <w:sz w:val="24"/>
              </w:rPr>
            </w:pPr>
            <w:r w:rsidRPr="00B2121F">
              <w:rPr>
                <w:rFonts w:asciiTheme="minorHAnsi" w:hAnsiTheme="minorHAnsi" w:cstheme="minorHAnsi"/>
                <w:w w:val="105"/>
                <w:sz w:val="24"/>
              </w:rPr>
              <w:t>1,650,440</w:t>
            </w:r>
          </w:p>
        </w:tc>
        <w:tc>
          <w:tcPr>
            <w:tcW w:w="1751" w:type="dxa"/>
            <w:vAlign w:val="center"/>
          </w:tcPr>
          <w:p w14:paraId="69958AB0" w14:textId="77777777" w:rsidR="003303D3" w:rsidRPr="00B2121F" w:rsidRDefault="003303D3" w:rsidP="006A3035">
            <w:pPr>
              <w:pStyle w:val="TableParagraph"/>
              <w:spacing w:before="46"/>
              <w:ind w:right="570"/>
              <w:jc w:val="right"/>
              <w:rPr>
                <w:rFonts w:asciiTheme="minorHAnsi" w:hAnsiTheme="minorHAnsi" w:cstheme="minorHAnsi"/>
                <w:sz w:val="24"/>
              </w:rPr>
            </w:pPr>
            <w:r w:rsidRPr="00B2121F">
              <w:rPr>
                <w:rFonts w:asciiTheme="minorHAnsi" w:hAnsiTheme="minorHAnsi" w:cstheme="minorHAnsi"/>
                <w:w w:val="105"/>
                <w:sz w:val="24"/>
              </w:rPr>
              <w:t>1,342,806</w:t>
            </w:r>
          </w:p>
        </w:tc>
      </w:tr>
      <w:tr w:rsidR="003303D3" w:rsidRPr="00B2121F" w14:paraId="3D971D8A" w14:textId="77777777" w:rsidTr="006A3035">
        <w:trPr>
          <w:trHeight w:val="454"/>
        </w:trPr>
        <w:tc>
          <w:tcPr>
            <w:tcW w:w="5932" w:type="dxa"/>
            <w:vAlign w:val="center"/>
          </w:tcPr>
          <w:p w14:paraId="11702D56" w14:textId="77777777" w:rsidR="003303D3" w:rsidRPr="00B2121F" w:rsidRDefault="003303D3" w:rsidP="006A3035">
            <w:pPr>
              <w:pStyle w:val="TableParagraph"/>
              <w:spacing w:before="43"/>
              <w:ind w:left="669"/>
              <w:rPr>
                <w:rFonts w:asciiTheme="minorHAnsi" w:hAnsiTheme="minorHAnsi" w:cstheme="minorHAnsi"/>
                <w:sz w:val="24"/>
              </w:rPr>
            </w:pPr>
            <w:r w:rsidRPr="00B2121F">
              <w:rPr>
                <w:rFonts w:asciiTheme="minorHAnsi" w:hAnsiTheme="minorHAnsi" w:cstheme="minorHAnsi"/>
                <w:w w:val="105"/>
                <w:sz w:val="24"/>
              </w:rPr>
              <w:t>Programs Costs</w:t>
            </w:r>
          </w:p>
        </w:tc>
        <w:tc>
          <w:tcPr>
            <w:tcW w:w="2665" w:type="dxa"/>
            <w:vAlign w:val="center"/>
          </w:tcPr>
          <w:p w14:paraId="1787E54E" w14:textId="77777777" w:rsidR="003303D3" w:rsidRPr="00B2121F" w:rsidRDefault="003303D3" w:rsidP="006A3035">
            <w:pPr>
              <w:pStyle w:val="TableParagraph"/>
              <w:spacing w:before="44"/>
              <w:ind w:right="378"/>
              <w:jc w:val="right"/>
              <w:rPr>
                <w:rFonts w:asciiTheme="minorHAnsi" w:hAnsiTheme="minorHAnsi" w:cstheme="minorHAnsi"/>
                <w:sz w:val="24"/>
              </w:rPr>
            </w:pPr>
            <w:r w:rsidRPr="00B2121F">
              <w:rPr>
                <w:rFonts w:asciiTheme="minorHAnsi" w:hAnsiTheme="minorHAnsi" w:cstheme="minorHAnsi"/>
                <w:w w:val="105"/>
                <w:sz w:val="24"/>
              </w:rPr>
              <w:t>331,250</w:t>
            </w:r>
          </w:p>
        </w:tc>
        <w:tc>
          <w:tcPr>
            <w:tcW w:w="1751" w:type="dxa"/>
            <w:vAlign w:val="center"/>
          </w:tcPr>
          <w:p w14:paraId="5374A97E" w14:textId="77777777" w:rsidR="003303D3" w:rsidRPr="00B2121F" w:rsidRDefault="003303D3" w:rsidP="006A3035">
            <w:pPr>
              <w:pStyle w:val="TableParagraph"/>
              <w:spacing w:before="45"/>
              <w:ind w:right="575"/>
              <w:jc w:val="right"/>
              <w:rPr>
                <w:rFonts w:asciiTheme="minorHAnsi" w:hAnsiTheme="minorHAnsi" w:cstheme="minorHAnsi"/>
                <w:sz w:val="24"/>
              </w:rPr>
            </w:pPr>
            <w:r w:rsidRPr="00B2121F">
              <w:rPr>
                <w:rFonts w:asciiTheme="minorHAnsi" w:hAnsiTheme="minorHAnsi" w:cstheme="minorHAnsi"/>
                <w:sz w:val="24"/>
              </w:rPr>
              <w:t>445,702</w:t>
            </w:r>
          </w:p>
        </w:tc>
      </w:tr>
      <w:tr w:rsidR="003303D3" w:rsidRPr="00B2121F" w14:paraId="41329BBF" w14:textId="77777777" w:rsidTr="006A3035">
        <w:trPr>
          <w:trHeight w:val="454"/>
        </w:trPr>
        <w:tc>
          <w:tcPr>
            <w:tcW w:w="5932" w:type="dxa"/>
            <w:vAlign w:val="center"/>
          </w:tcPr>
          <w:p w14:paraId="69551E02" w14:textId="77777777" w:rsidR="003303D3" w:rsidRPr="00B2121F" w:rsidRDefault="003303D3" w:rsidP="006A3035">
            <w:pPr>
              <w:pStyle w:val="TableParagraph"/>
              <w:spacing w:before="43"/>
              <w:ind w:left="669"/>
              <w:rPr>
                <w:rFonts w:asciiTheme="minorHAnsi" w:hAnsiTheme="minorHAnsi" w:cstheme="minorHAnsi"/>
                <w:sz w:val="24"/>
              </w:rPr>
            </w:pPr>
            <w:r w:rsidRPr="00B2121F">
              <w:rPr>
                <w:rFonts w:asciiTheme="minorHAnsi" w:hAnsiTheme="minorHAnsi" w:cstheme="minorHAnsi"/>
                <w:w w:val="105"/>
                <w:sz w:val="24"/>
              </w:rPr>
              <w:t>Marketing &amp; Communications</w:t>
            </w:r>
          </w:p>
        </w:tc>
        <w:tc>
          <w:tcPr>
            <w:tcW w:w="2665" w:type="dxa"/>
            <w:vAlign w:val="center"/>
          </w:tcPr>
          <w:p w14:paraId="016D1BA1" w14:textId="77777777" w:rsidR="003303D3" w:rsidRPr="00B2121F" w:rsidRDefault="003303D3" w:rsidP="006A3035">
            <w:pPr>
              <w:pStyle w:val="TableParagraph"/>
              <w:spacing w:before="44"/>
              <w:ind w:right="382"/>
              <w:jc w:val="right"/>
              <w:rPr>
                <w:rFonts w:asciiTheme="minorHAnsi" w:hAnsiTheme="minorHAnsi" w:cstheme="minorHAnsi"/>
                <w:sz w:val="24"/>
              </w:rPr>
            </w:pPr>
            <w:r w:rsidRPr="00B2121F">
              <w:rPr>
                <w:rFonts w:asciiTheme="minorHAnsi" w:hAnsiTheme="minorHAnsi" w:cstheme="minorHAnsi"/>
                <w:w w:val="105"/>
                <w:sz w:val="24"/>
              </w:rPr>
              <w:t>57,234</w:t>
            </w:r>
          </w:p>
        </w:tc>
        <w:tc>
          <w:tcPr>
            <w:tcW w:w="1751" w:type="dxa"/>
            <w:vAlign w:val="center"/>
          </w:tcPr>
          <w:p w14:paraId="51C9AE5A" w14:textId="77777777" w:rsidR="003303D3" w:rsidRPr="00B2121F" w:rsidRDefault="003303D3" w:rsidP="006A3035">
            <w:pPr>
              <w:pStyle w:val="TableParagraph"/>
              <w:spacing w:before="45"/>
              <w:ind w:right="570"/>
              <w:jc w:val="right"/>
              <w:rPr>
                <w:rFonts w:asciiTheme="minorHAnsi" w:hAnsiTheme="minorHAnsi" w:cstheme="minorHAnsi"/>
                <w:sz w:val="24"/>
              </w:rPr>
            </w:pPr>
            <w:r w:rsidRPr="00B2121F">
              <w:rPr>
                <w:rFonts w:asciiTheme="minorHAnsi" w:hAnsiTheme="minorHAnsi" w:cstheme="minorHAnsi"/>
                <w:w w:val="105"/>
                <w:sz w:val="24"/>
              </w:rPr>
              <w:t>137,633</w:t>
            </w:r>
          </w:p>
        </w:tc>
      </w:tr>
      <w:tr w:rsidR="003303D3" w:rsidRPr="00B2121F" w14:paraId="18EAE07A" w14:textId="77777777" w:rsidTr="006A3035">
        <w:trPr>
          <w:trHeight w:val="454"/>
        </w:trPr>
        <w:tc>
          <w:tcPr>
            <w:tcW w:w="5932" w:type="dxa"/>
            <w:vAlign w:val="center"/>
          </w:tcPr>
          <w:p w14:paraId="4D8DC6A7" w14:textId="77777777" w:rsidR="003303D3" w:rsidRPr="00B2121F" w:rsidRDefault="003303D3" w:rsidP="006A3035">
            <w:pPr>
              <w:pStyle w:val="TableParagraph"/>
              <w:spacing w:before="43"/>
              <w:ind w:left="669"/>
              <w:rPr>
                <w:rFonts w:asciiTheme="minorHAnsi" w:hAnsiTheme="minorHAnsi" w:cstheme="minorHAnsi"/>
                <w:sz w:val="24"/>
              </w:rPr>
            </w:pPr>
            <w:r w:rsidRPr="00B2121F">
              <w:rPr>
                <w:rFonts w:asciiTheme="minorHAnsi" w:hAnsiTheme="minorHAnsi" w:cstheme="minorHAnsi"/>
                <w:w w:val="105"/>
                <w:sz w:val="24"/>
              </w:rPr>
              <w:t>Infrastructure Costs (Admin)</w:t>
            </w:r>
          </w:p>
        </w:tc>
        <w:tc>
          <w:tcPr>
            <w:tcW w:w="2665" w:type="dxa"/>
            <w:vAlign w:val="center"/>
          </w:tcPr>
          <w:p w14:paraId="530ACD75" w14:textId="77777777" w:rsidR="003303D3" w:rsidRPr="00B2121F" w:rsidRDefault="003303D3" w:rsidP="006A3035">
            <w:pPr>
              <w:pStyle w:val="TableParagraph"/>
              <w:spacing w:before="44"/>
              <w:ind w:right="378"/>
              <w:jc w:val="right"/>
              <w:rPr>
                <w:rFonts w:asciiTheme="minorHAnsi" w:hAnsiTheme="minorHAnsi" w:cstheme="minorHAnsi"/>
                <w:sz w:val="24"/>
              </w:rPr>
            </w:pPr>
            <w:r w:rsidRPr="00B2121F">
              <w:rPr>
                <w:rFonts w:asciiTheme="minorHAnsi" w:hAnsiTheme="minorHAnsi" w:cstheme="minorHAnsi"/>
                <w:w w:val="105"/>
                <w:sz w:val="24"/>
              </w:rPr>
              <w:t>309,927</w:t>
            </w:r>
          </w:p>
        </w:tc>
        <w:tc>
          <w:tcPr>
            <w:tcW w:w="1751" w:type="dxa"/>
            <w:vAlign w:val="center"/>
          </w:tcPr>
          <w:p w14:paraId="6078E4B5" w14:textId="77777777" w:rsidR="003303D3" w:rsidRPr="00B2121F" w:rsidRDefault="003303D3" w:rsidP="006A3035">
            <w:pPr>
              <w:pStyle w:val="TableParagraph"/>
              <w:spacing w:before="45"/>
              <w:ind w:right="570"/>
              <w:jc w:val="right"/>
              <w:rPr>
                <w:rFonts w:asciiTheme="minorHAnsi" w:hAnsiTheme="minorHAnsi" w:cstheme="minorHAnsi"/>
                <w:sz w:val="24"/>
              </w:rPr>
            </w:pPr>
            <w:r w:rsidRPr="00B2121F">
              <w:rPr>
                <w:rFonts w:asciiTheme="minorHAnsi" w:hAnsiTheme="minorHAnsi" w:cstheme="minorHAnsi"/>
                <w:sz w:val="24"/>
              </w:rPr>
              <w:t>395,425</w:t>
            </w:r>
          </w:p>
        </w:tc>
      </w:tr>
      <w:tr w:rsidR="003303D3" w:rsidRPr="00B2121F" w14:paraId="361250C8" w14:textId="77777777" w:rsidTr="006A3035">
        <w:trPr>
          <w:trHeight w:val="454"/>
        </w:trPr>
        <w:tc>
          <w:tcPr>
            <w:tcW w:w="5932" w:type="dxa"/>
            <w:vAlign w:val="center"/>
          </w:tcPr>
          <w:p w14:paraId="05B2714E" w14:textId="77777777" w:rsidR="003303D3" w:rsidRPr="00B2121F" w:rsidRDefault="003303D3" w:rsidP="006A3035">
            <w:pPr>
              <w:pStyle w:val="TableParagraph"/>
              <w:spacing w:before="43"/>
              <w:ind w:left="669"/>
              <w:rPr>
                <w:rFonts w:asciiTheme="minorHAnsi" w:hAnsiTheme="minorHAnsi" w:cstheme="minorHAnsi"/>
                <w:sz w:val="24"/>
              </w:rPr>
            </w:pPr>
            <w:r w:rsidRPr="00B2121F">
              <w:rPr>
                <w:rFonts w:asciiTheme="minorHAnsi" w:hAnsiTheme="minorHAnsi" w:cstheme="minorHAnsi"/>
                <w:w w:val="105"/>
                <w:sz w:val="24"/>
              </w:rPr>
              <w:t>Depreciation Expenses</w:t>
            </w:r>
          </w:p>
        </w:tc>
        <w:tc>
          <w:tcPr>
            <w:tcW w:w="2665" w:type="dxa"/>
            <w:vAlign w:val="center"/>
          </w:tcPr>
          <w:p w14:paraId="29B16DAB" w14:textId="77777777" w:rsidR="003303D3" w:rsidRPr="00B2121F" w:rsidRDefault="003303D3" w:rsidP="006A3035">
            <w:pPr>
              <w:pStyle w:val="TableParagraph"/>
              <w:spacing w:before="44"/>
              <w:ind w:right="383"/>
              <w:jc w:val="right"/>
              <w:rPr>
                <w:rFonts w:asciiTheme="minorHAnsi" w:hAnsiTheme="minorHAnsi" w:cstheme="minorHAnsi"/>
                <w:sz w:val="24"/>
              </w:rPr>
            </w:pPr>
            <w:r w:rsidRPr="00B2121F">
              <w:rPr>
                <w:rFonts w:asciiTheme="minorHAnsi" w:hAnsiTheme="minorHAnsi" w:cstheme="minorHAnsi"/>
                <w:w w:val="105"/>
                <w:sz w:val="24"/>
              </w:rPr>
              <w:t>50,479</w:t>
            </w:r>
          </w:p>
        </w:tc>
        <w:tc>
          <w:tcPr>
            <w:tcW w:w="1751" w:type="dxa"/>
            <w:vAlign w:val="center"/>
          </w:tcPr>
          <w:p w14:paraId="16C8F2AB" w14:textId="77777777" w:rsidR="003303D3" w:rsidRPr="00B2121F" w:rsidRDefault="003303D3" w:rsidP="006A3035">
            <w:pPr>
              <w:pStyle w:val="TableParagraph"/>
              <w:spacing w:before="45"/>
              <w:ind w:right="575"/>
              <w:jc w:val="right"/>
              <w:rPr>
                <w:rFonts w:asciiTheme="minorHAnsi" w:hAnsiTheme="minorHAnsi" w:cstheme="minorHAnsi"/>
                <w:sz w:val="24"/>
              </w:rPr>
            </w:pPr>
            <w:r w:rsidRPr="00B2121F">
              <w:rPr>
                <w:rFonts w:asciiTheme="minorHAnsi" w:hAnsiTheme="minorHAnsi" w:cstheme="minorHAnsi"/>
                <w:w w:val="105"/>
                <w:sz w:val="24"/>
              </w:rPr>
              <w:t>40,162</w:t>
            </w:r>
          </w:p>
        </w:tc>
      </w:tr>
      <w:tr w:rsidR="003303D3" w:rsidRPr="00B2121F" w14:paraId="147B6605" w14:textId="77777777" w:rsidTr="006A3035">
        <w:trPr>
          <w:trHeight w:val="454"/>
        </w:trPr>
        <w:tc>
          <w:tcPr>
            <w:tcW w:w="5932" w:type="dxa"/>
            <w:shd w:val="clear" w:color="auto" w:fill="D6EAF4"/>
            <w:vAlign w:val="center"/>
          </w:tcPr>
          <w:p w14:paraId="77B1C725" w14:textId="77777777" w:rsidR="003303D3" w:rsidRPr="00520FC2" w:rsidRDefault="003303D3" w:rsidP="006A3035">
            <w:pPr>
              <w:pStyle w:val="TableParagraph"/>
              <w:spacing w:before="35"/>
              <w:ind w:left="385"/>
              <w:rPr>
                <w:rFonts w:asciiTheme="minorHAnsi" w:hAnsiTheme="minorHAnsi" w:cstheme="minorHAnsi"/>
                <w:b/>
                <w:bCs/>
                <w:sz w:val="24"/>
              </w:rPr>
            </w:pPr>
            <w:r w:rsidRPr="00520FC2">
              <w:rPr>
                <w:rFonts w:asciiTheme="minorHAnsi" w:hAnsiTheme="minorHAnsi" w:cstheme="minorHAnsi"/>
                <w:b/>
                <w:bCs/>
                <w:w w:val="115"/>
                <w:sz w:val="24"/>
              </w:rPr>
              <w:t>Total Expenses from Ordinary Activities</w:t>
            </w:r>
          </w:p>
        </w:tc>
        <w:tc>
          <w:tcPr>
            <w:tcW w:w="2665" w:type="dxa"/>
            <w:shd w:val="clear" w:color="auto" w:fill="D6EAF4"/>
            <w:vAlign w:val="center"/>
          </w:tcPr>
          <w:p w14:paraId="7A31C302" w14:textId="77777777" w:rsidR="003303D3" w:rsidRPr="00B2121F" w:rsidRDefault="003303D3" w:rsidP="006A3035">
            <w:pPr>
              <w:pStyle w:val="TableParagraph"/>
              <w:spacing w:before="36"/>
              <w:ind w:right="391"/>
              <w:jc w:val="right"/>
              <w:rPr>
                <w:rFonts w:asciiTheme="minorHAnsi" w:hAnsiTheme="minorHAnsi" w:cstheme="minorHAnsi"/>
                <w:sz w:val="24"/>
              </w:rPr>
            </w:pPr>
            <w:r w:rsidRPr="00B2121F">
              <w:rPr>
                <w:rFonts w:asciiTheme="minorHAnsi" w:hAnsiTheme="minorHAnsi" w:cstheme="minorHAnsi"/>
                <w:w w:val="110"/>
                <w:sz w:val="24"/>
              </w:rPr>
              <w:t>2,399,329</w:t>
            </w:r>
          </w:p>
        </w:tc>
        <w:tc>
          <w:tcPr>
            <w:tcW w:w="1751" w:type="dxa"/>
            <w:shd w:val="clear" w:color="auto" w:fill="D6EAF4"/>
            <w:vAlign w:val="center"/>
          </w:tcPr>
          <w:p w14:paraId="62132B92" w14:textId="77777777" w:rsidR="003303D3" w:rsidRPr="00B2121F" w:rsidRDefault="003303D3" w:rsidP="006A3035">
            <w:pPr>
              <w:pStyle w:val="TableParagraph"/>
              <w:spacing w:before="37"/>
              <w:ind w:right="583"/>
              <w:jc w:val="right"/>
              <w:rPr>
                <w:rFonts w:asciiTheme="minorHAnsi" w:hAnsiTheme="minorHAnsi" w:cstheme="minorHAnsi"/>
                <w:sz w:val="24"/>
              </w:rPr>
            </w:pPr>
            <w:r w:rsidRPr="00B2121F">
              <w:rPr>
                <w:rFonts w:asciiTheme="minorHAnsi" w:hAnsiTheme="minorHAnsi" w:cstheme="minorHAnsi"/>
                <w:w w:val="115"/>
                <w:sz w:val="24"/>
              </w:rPr>
              <w:t>2,361,728</w:t>
            </w:r>
          </w:p>
        </w:tc>
      </w:tr>
    </w:tbl>
    <w:p w14:paraId="05A836D8" w14:textId="19342D23" w:rsidR="00520FC2" w:rsidRDefault="00520FC2" w:rsidP="003303D3">
      <w:pPr>
        <w:pStyle w:val="body"/>
      </w:pPr>
    </w:p>
    <w:p w14:paraId="01B44DE4" w14:textId="77777777" w:rsidR="00520FC2" w:rsidRDefault="00520FC2">
      <w:pPr>
        <w:rPr>
          <w:rFonts w:cstheme="minorHAnsi"/>
          <w:color w:val="2C2D35"/>
          <w:spacing w:val="-2"/>
          <w:sz w:val="28"/>
          <w:szCs w:val="28"/>
          <w:lang w:val="en-GB"/>
        </w:rPr>
      </w:pPr>
      <w:r>
        <w:br w:type="page"/>
      </w:r>
    </w:p>
    <w:p w14:paraId="7C0CFC33" w14:textId="77777777" w:rsidR="003303D3" w:rsidRDefault="003303D3" w:rsidP="003303D3">
      <w:pPr>
        <w:pStyle w:val="body"/>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32"/>
        <w:gridCol w:w="2665"/>
        <w:gridCol w:w="1751"/>
      </w:tblGrid>
      <w:tr w:rsidR="00F1638E" w:rsidRPr="00B2121F" w14:paraId="6132B0E6" w14:textId="77777777" w:rsidTr="6D72FE1E">
        <w:trPr>
          <w:trHeight w:val="454"/>
        </w:trPr>
        <w:tc>
          <w:tcPr>
            <w:tcW w:w="5932" w:type="dxa"/>
            <w:shd w:val="clear" w:color="auto" w:fill="D6EAF4"/>
            <w:vAlign w:val="center"/>
          </w:tcPr>
          <w:p w14:paraId="614C5BFC" w14:textId="77777777" w:rsidR="00F1638E" w:rsidRPr="00B2121F" w:rsidRDefault="00F1638E" w:rsidP="006A3035">
            <w:pPr>
              <w:pStyle w:val="TableParagraph"/>
              <w:rPr>
                <w:rFonts w:asciiTheme="minorHAnsi" w:hAnsiTheme="minorHAnsi" w:cstheme="minorHAnsi"/>
                <w:sz w:val="24"/>
              </w:rPr>
            </w:pPr>
          </w:p>
        </w:tc>
        <w:tc>
          <w:tcPr>
            <w:tcW w:w="2665" w:type="dxa"/>
            <w:shd w:val="clear" w:color="auto" w:fill="D6EAF4"/>
            <w:vAlign w:val="center"/>
          </w:tcPr>
          <w:p w14:paraId="4971C231" w14:textId="77777777" w:rsidR="00F1638E" w:rsidRPr="00B2121F" w:rsidRDefault="00F1638E" w:rsidP="000D3966">
            <w:pPr>
              <w:pStyle w:val="TableParagraph"/>
              <w:spacing w:before="181"/>
              <w:ind w:left="1453" w:right="381"/>
              <w:jc w:val="right"/>
              <w:rPr>
                <w:rFonts w:asciiTheme="minorHAnsi" w:hAnsiTheme="minorHAnsi" w:cstheme="minorHAnsi"/>
                <w:sz w:val="24"/>
              </w:rPr>
            </w:pPr>
            <w:r w:rsidRPr="00B2121F">
              <w:rPr>
                <w:rFonts w:asciiTheme="minorHAnsi" w:hAnsiTheme="minorHAnsi" w:cstheme="minorHAnsi"/>
                <w:w w:val="105"/>
                <w:sz w:val="24"/>
              </w:rPr>
              <w:t>DEC 19</w:t>
            </w:r>
          </w:p>
          <w:p w14:paraId="2C339E01" w14:textId="77777777" w:rsidR="00F1638E" w:rsidRPr="00B2121F" w:rsidRDefault="00F1638E" w:rsidP="000D3966">
            <w:pPr>
              <w:pStyle w:val="TableParagraph"/>
              <w:spacing w:before="89"/>
              <w:ind w:right="381"/>
              <w:jc w:val="right"/>
              <w:rPr>
                <w:rFonts w:asciiTheme="minorHAnsi" w:hAnsiTheme="minorHAnsi" w:cstheme="minorHAnsi"/>
                <w:sz w:val="24"/>
              </w:rPr>
            </w:pPr>
            <w:r w:rsidRPr="00B2121F">
              <w:rPr>
                <w:rFonts w:asciiTheme="minorHAnsi" w:hAnsiTheme="minorHAnsi" w:cstheme="minorHAnsi"/>
                <w:w w:val="104"/>
                <w:sz w:val="24"/>
              </w:rPr>
              <w:t>$</w:t>
            </w:r>
          </w:p>
        </w:tc>
        <w:tc>
          <w:tcPr>
            <w:tcW w:w="1751" w:type="dxa"/>
            <w:shd w:val="clear" w:color="auto" w:fill="D6EAF4"/>
            <w:vAlign w:val="center"/>
          </w:tcPr>
          <w:p w14:paraId="53415BC9" w14:textId="77777777" w:rsidR="00F1638E" w:rsidRPr="00B2121F" w:rsidRDefault="00F1638E" w:rsidP="006A3035">
            <w:pPr>
              <w:pStyle w:val="TableParagraph"/>
              <w:spacing w:before="181"/>
              <w:ind w:left="597"/>
              <w:rPr>
                <w:rFonts w:asciiTheme="minorHAnsi" w:hAnsiTheme="minorHAnsi" w:cstheme="minorHAnsi"/>
                <w:sz w:val="24"/>
              </w:rPr>
            </w:pPr>
            <w:r w:rsidRPr="00B2121F">
              <w:rPr>
                <w:rFonts w:asciiTheme="minorHAnsi" w:hAnsiTheme="minorHAnsi" w:cstheme="minorHAnsi"/>
                <w:w w:val="105"/>
                <w:sz w:val="24"/>
              </w:rPr>
              <w:t>DEC 18</w:t>
            </w:r>
          </w:p>
          <w:p w14:paraId="0D6B1C8B" w14:textId="77777777" w:rsidR="00F1638E" w:rsidRPr="00B2121F" w:rsidRDefault="00F1638E" w:rsidP="006A3035">
            <w:pPr>
              <w:pStyle w:val="TableParagraph"/>
              <w:spacing w:before="89"/>
              <w:ind w:left="1283"/>
              <w:rPr>
                <w:rFonts w:asciiTheme="minorHAnsi" w:hAnsiTheme="minorHAnsi" w:cstheme="minorHAnsi"/>
                <w:sz w:val="24"/>
              </w:rPr>
            </w:pPr>
            <w:r w:rsidRPr="00B2121F">
              <w:rPr>
                <w:rFonts w:asciiTheme="minorHAnsi" w:hAnsiTheme="minorHAnsi" w:cstheme="minorHAnsi"/>
                <w:w w:val="104"/>
                <w:sz w:val="24"/>
              </w:rPr>
              <w:t>$</w:t>
            </w:r>
          </w:p>
        </w:tc>
      </w:tr>
      <w:tr w:rsidR="00F1638E" w:rsidRPr="00B2121F" w14:paraId="0954B75D" w14:textId="77777777" w:rsidTr="6D72FE1E">
        <w:trPr>
          <w:trHeight w:val="454"/>
        </w:trPr>
        <w:tc>
          <w:tcPr>
            <w:tcW w:w="5932" w:type="dxa"/>
            <w:vAlign w:val="center"/>
          </w:tcPr>
          <w:p w14:paraId="70B94E6E" w14:textId="77777777" w:rsidR="00F1638E" w:rsidRPr="000D3966" w:rsidRDefault="00F1638E" w:rsidP="006A3035">
            <w:pPr>
              <w:pStyle w:val="TableParagraph"/>
              <w:spacing w:before="2"/>
              <w:rPr>
                <w:rFonts w:asciiTheme="minorHAnsi" w:hAnsiTheme="minorHAnsi" w:cstheme="minorHAnsi"/>
                <w:sz w:val="29"/>
              </w:rPr>
            </w:pPr>
          </w:p>
          <w:p w14:paraId="39433DF4" w14:textId="77777777" w:rsidR="00F1638E" w:rsidRPr="000D3966" w:rsidRDefault="00F1638E" w:rsidP="006A3035">
            <w:pPr>
              <w:pStyle w:val="TableParagraph"/>
              <w:spacing w:before="1"/>
              <w:ind w:left="385"/>
              <w:rPr>
                <w:rFonts w:asciiTheme="minorHAnsi" w:hAnsiTheme="minorHAnsi" w:cstheme="minorHAnsi"/>
                <w:b/>
                <w:bCs/>
                <w:w w:val="110"/>
                <w:sz w:val="24"/>
              </w:rPr>
            </w:pPr>
            <w:r w:rsidRPr="000D3966">
              <w:rPr>
                <w:rFonts w:asciiTheme="minorHAnsi" w:hAnsiTheme="minorHAnsi" w:cstheme="minorHAnsi"/>
                <w:b/>
                <w:bCs/>
                <w:w w:val="110"/>
                <w:sz w:val="24"/>
              </w:rPr>
              <w:t>Surplus/(Deficit) from Ordinary Activities</w:t>
            </w:r>
          </w:p>
          <w:p w14:paraId="1002BADD" w14:textId="63AC7F52" w:rsidR="00F1638E" w:rsidRPr="000D3966" w:rsidRDefault="00F1638E" w:rsidP="006A3035">
            <w:pPr>
              <w:pStyle w:val="TableParagraph"/>
              <w:spacing w:before="1"/>
              <w:ind w:left="385"/>
              <w:rPr>
                <w:rFonts w:asciiTheme="minorHAnsi" w:hAnsiTheme="minorHAnsi" w:cstheme="minorHAnsi"/>
                <w:b/>
                <w:bCs/>
                <w:sz w:val="24"/>
              </w:rPr>
            </w:pPr>
            <w:r w:rsidRPr="000D3966">
              <w:rPr>
                <w:rFonts w:asciiTheme="minorHAnsi" w:hAnsiTheme="minorHAnsi" w:cstheme="minorHAnsi"/>
                <w:b/>
                <w:bCs/>
                <w:w w:val="110"/>
                <w:sz w:val="24"/>
              </w:rPr>
              <w:t>before income tax</w:t>
            </w:r>
          </w:p>
        </w:tc>
        <w:tc>
          <w:tcPr>
            <w:tcW w:w="2665" w:type="dxa"/>
            <w:vAlign w:val="center"/>
          </w:tcPr>
          <w:p w14:paraId="53C76F26" w14:textId="07E155A1" w:rsidR="00F1638E" w:rsidRPr="000D3966" w:rsidRDefault="006A3035" w:rsidP="006A3035">
            <w:pPr>
              <w:pStyle w:val="TableParagraph"/>
              <w:ind w:right="231"/>
              <w:jc w:val="right"/>
              <w:rPr>
                <w:rFonts w:asciiTheme="minorHAnsi" w:hAnsiTheme="minorHAnsi" w:cstheme="minorHAnsi"/>
                <w:b/>
                <w:bCs/>
                <w:sz w:val="24"/>
              </w:rPr>
            </w:pPr>
            <w:r w:rsidRPr="000D3966">
              <w:rPr>
                <w:rFonts w:asciiTheme="minorHAnsi" w:hAnsiTheme="minorHAnsi" w:cstheme="minorHAnsi"/>
                <w:b/>
                <w:bCs/>
                <w:sz w:val="24"/>
              </w:rPr>
              <w:t>(59,155)</w:t>
            </w:r>
          </w:p>
        </w:tc>
        <w:tc>
          <w:tcPr>
            <w:tcW w:w="1751" w:type="dxa"/>
            <w:vAlign w:val="center"/>
          </w:tcPr>
          <w:p w14:paraId="24FFEDDB" w14:textId="2625C242" w:rsidR="00F1638E" w:rsidRPr="000D3966" w:rsidRDefault="006A3035" w:rsidP="006A3035">
            <w:pPr>
              <w:pStyle w:val="TableParagraph"/>
              <w:ind w:right="428"/>
              <w:jc w:val="right"/>
              <w:rPr>
                <w:rFonts w:asciiTheme="minorHAnsi" w:hAnsiTheme="minorHAnsi" w:cstheme="minorHAnsi"/>
                <w:b/>
                <w:bCs/>
                <w:sz w:val="24"/>
              </w:rPr>
            </w:pPr>
            <w:r w:rsidRPr="000D3966">
              <w:rPr>
                <w:rFonts w:asciiTheme="minorHAnsi" w:hAnsiTheme="minorHAnsi" w:cstheme="minorHAnsi"/>
                <w:b/>
                <w:bCs/>
                <w:sz w:val="24"/>
              </w:rPr>
              <w:t>19,003</w:t>
            </w:r>
          </w:p>
        </w:tc>
      </w:tr>
      <w:tr w:rsidR="00F1638E" w:rsidRPr="00B2121F" w14:paraId="27FB4DC5" w14:textId="77777777" w:rsidTr="6D72FE1E">
        <w:trPr>
          <w:trHeight w:val="454"/>
        </w:trPr>
        <w:tc>
          <w:tcPr>
            <w:tcW w:w="5932" w:type="dxa"/>
            <w:vAlign w:val="center"/>
          </w:tcPr>
          <w:p w14:paraId="120B253B" w14:textId="506FBF53" w:rsidR="00F1638E" w:rsidRPr="000D3966" w:rsidRDefault="006A3035" w:rsidP="006A3035">
            <w:pPr>
              <w:pStyle w:val="TableParagraph"/>
              <w:spacing w:before="44"/>
              <w:ind w:left="669"/>
              <w:rPr>
                <w:rFonts w:asciiTheme="minorHAnsi" w:hAnsiTheme="minorHAnsi" w:cstheme="minorHAnsi"/>
                <w:sz w:val="24"/>
              </w:rPr>
            </w:pPr>
            <w:r w:rsidRPr="000D3966">
              <w:rPr>
                <w:rFonts w:asciiTheme="minorHAnsi" w:hAnsiTheme="minorHAnsi" w:cstheme="minorHAnsi"/>
                <w:w w:val="105"/>
                <w:sz w:val="24"/>
              </w:rPr>
              <w:t>Income Tax Expense</w:t>
            </w:r>
          </w:p>
        </w:tc>
        <w:tc>
          <w:tcPr>
            <w:tcW w:w="2665" w:type="dxa"/>
            <w:vAlign w:val="center"/>
          </w:tcPr>
          <w:p w14:paraId="50A015FC" w14:textId="4C864673" w:rsidR="00F1638E" w:rsidRPr="000D3966" w:rsidRDefault="006A3035" w:rsidP="006A3035">
            <w:pPr>
              <w:pStyle w:val="TableParagraph"/>
              <w:spacing w:before="45"/>
              <w:ind w:right="378"/>
              <w:jc w:val="right"/>
              <w:rPr>
                <w:rFonts w:asciiTheme="minorHAnsi" w:hAnsiTheme="minorHAnsi" w:cstheme="minorHAnsi"/>
                <w:sz w:val="24"/>
              </w:rPr>
            </w:pPr>
            <w:r w:rsidRPr="000D3966">
              <w:rPr>
                <w:rFonts w:asciiTheme="minorHAnsi" w:hAnsiTheme="minorHAnsi" w:cstheme="minorHAnsi"/>
                <w:w w:val="105"/>
                <w:sz w:val="24"/>
              </w:rPr>
              <w:t>0</w:t>
            </w:r>
          </w:p>
        </w:tc>
        <w:tc>
          <w:tcPr>
            <w:tcW w:w="1751" w:type="dxa"/>
            <w:vAlign w:val="center"/>
          </w:tcPr>
          <w:p w14:paraId="28783E50" w14:textId="6E3BBBF1" w:rsidR="00F1638E" w:rsidRPr="000D3966" w:rsidRDefault="006A3035" w:rsidP="006A3035">
            <w:pPr>
              <w:pStyle w:val="TableParagraph"/>
              <w:spacing w:before="46"/>
              <w:ind w:right="575"/>
              <w:jc w:val="right"/>
              <w:rPr>
                <w:rFonts w:asciiTheme="minorHAnsi" w:hAnsiTheme="minorHAnsi" w:cstheme="minorHAnsi"/>
                <w:sz w:val="24"/>
              </w:rPr>
            </w:pPr>
            <w:r w:rsidRPr="000D3966">
              <w:rPr>
                <w:rFonts w:asciiTheme="minorHAnsi" w:hAnsiTheme="minorHAnsi" w:cstheme="minorHAnsi"/>
                <w:w w:val="105"/>
                <w:sz w:val="24"/>
              </w:rPr>
              <w:t>0</w:t>
            </w:r>
          </w:p>
        </w:tc>
      </w:tr>
      <w:tr w:rsidR="00F1638E" w:rsidRPr="00B2121F" w14:paraId="6465079F" w14:textId="77777777" w:rsidTr="6D72FE1E">
        <w:trPr>
          <w:trHeight w:val="454"/>
        </w:trPr>
        <w:tc>
          <w:tcPr>
            <w:tcW w:w="5932" w:type="dxa"/>
            <w:vAlign w:val="center"/>
          </w:tcPr>
          <w:p w14:paraId="6EE335B6" w14:textId="77777777" w:rsidR="00F1638E" w:rsidRPr="000D3966" w:rsidRDefault="00F1638E" w:rsidP="006A3035">
            <w:pPr>
              <w:pStyle w:val="TableParagraph"/>
              <w:spacing w:before="43"/>
              <w:ind w:left="669"/>
              <w:rPr>
                <w:rFonts w:asciiTheme="minorHAnsi" w:hAnsiTheme="minorHAnsi" w:cstheme="minorHAnsi"/>
                <w:sz w:val="24"/>
              </w:rPr>
            </w:pPr>
            <w:r w:rsidRPr="000D3966">
              <w:rPr>
                <w:rFonts w:asciiTheme="minorHAnsi" w:hAnsiTheme="minorHAnsi" w:cstheme="minorHAnsi"/>
                <w:w w:val="105"/>
                <w:sz w:val="24"/>
              </w:rPr>
              <w:t>Activities Income</w:t>
            </w:r>
          </w:p>
        </w:tc>
        <w:tc>
          <w:tcPr>
            <w:tcW w:w="2665" w:type="dxa"/>
            <w:vAlign w:val="center"/>
          </w:tcPr>
          <w:p w14:paraId="1D907B55" w14:textId="77777777" w:rsidR="00F1638E" w:rsidRPr="000D3966" w:rsidRDefault="00F1638E" w:rsidP="006A3035">
            <w:pPr>
              <w:pStyle w:val="TableParagraph"/>
              <w:spacing w:before="44"/>
              <w:ind w:right="378"/>
              <w:jc w:val="right"/>
              <w:rPr>
                <w:rFonts w:asciiTheme="minorHAnsi" w:hAnsiTheme="minorHAnsi" w:cstheme="minorHAnsi"/>
                <w:sz w:val="24"/>
              </w:rPr>
            </w:pPr>
            <w:r w:rsidRPr="000D3966">
              <w:rPr>
                <w:rFonts w:asciiTheme="minorHAnsi" w:hAnsiTheme="minorHAnsi" w:cstheme="minorHAnsi"/>
                <w:w w:val="105"/>
                <w:sz w:val="24"/>
              </w:rPr>
              <w:t>562,786</w:t>
            </w:r>
          </w:p>
        </w:tc>
        <w:tc>
          <w:tcPr>
            <w:tcW w:w="1751" w:type="dxa"/>
            <w:vAlign w:val="center"/>
          </w:tcPr>
          <w:p w14:paraId="4AD83B3A" w14:textId="77777777" w:rsidR="00F1638E" w:rsidRPr="000D3966" w:rsidRDefault="00F1638E" w:rsidP="006A3035">
            <w:pPr>
              <w:pStyle w:val="TableParagraph"/>
              <w:spacing w:before="45"/>
              <w:ind w:right="570"/>
              <w:jc w:val="right"/>
              <w:rPr>
                <w:rFonts w:asciiTheme="minorHAnsi" w:hAnsiTheme="minorHAnsi" w:cstheme="minorHAnsi"/>
                <w:sz w:val="24"/>
              </w:rPr>
            </w:pPr>
            <w:r w:rsidRPr="000D3966">
              <w:rPr>
                <w:rFonts w:asciiTheme="minorHAnsi" w:hAnsiTheme="minorHAnsi" w:cstheme="minorHAnsi"/>
                <w:sz w:val="24"/>
              </w:rPr>
              <w:t>318,437</w:t>
            </w:r>
          </w:p>
        </w:tc>
      </w:tr>
      <w:tr w:rsidR="00F1638E" w:rsidRPr="00B2121F" w14:paraId="7DEB0971" w14:textId="77777777" w:rsidTr="6D72FE1E">
        <w:trPr>
          <w:trHeight w:val="454"/>
        </w:trPr>
        <w:tc>
          <w:tcPr>
            <w:tcW w:w="5932" w:type="dxa"/>
            <w:vAlign w:val="center"/>
          </w:tcPr>
          <w:p w14:paraId="61967223" w14:textId="77777777" w:rsidR="006A3035" w:rsidRPr="000D3966" w:rsidRDefault="006A3035" w:rsidP="006A3035">
            <w:pPr>
              <w:autoSpaceDE w:val="0"/>
              <w:autoSpaceDN w:val="0"/>
              <w:adjustRightInd w:val="0"/>
              <w:spacing w:after="0" w:line="240" w:lineRule="auto"/>
              <w:ind w:left="426"/>
              <w:rPr>
                <w:rFonts w:cs="AcuminVariableConcept"/>
                <w:b/>
                <w:bCs/>
                <w:color w:val="2C2D35"/>
                <w:sz w:val="24"/>
                <w:szCs w:val="24"/>
              </w:rPr>
            </w:pPr>
            <w:r w:rsidRPr="000D3966">
              <w:rPr>
                <w:rFonts w:cs="AcuminVariableConcept"/>
                <w:b/>
                <w:bCs/>
                <w:color w:val="2C2D35"/>
                <w:sz w:val="24"/>
                <w:szCs w:val="24"/>
              </w:rPr>
              <w:t xml:space="preserve">Surplus/(Deficit) from Ordinary Activities </w:t>
            </w:r>
            <w:proofErr w:type="spellStart"/>
            <w:r w:rsidRPr="000D3966">
              <w:rPr>
                <w:rFonts w:cs="AcuminVariableConcept"/>
                <w:b/>
                <w:bCs/>
                <w:color w:val="2C2D35"/>
                <w:sz w:val="24"/>
                <w:szCs w:val="24"/>
              </w:rPr>
              <w:t>af</w:t>
            </w:r>
            <w:proofErr w:type="spellEnd"/>
            <w:r w:rsidRPr="000D3966">
              <w:rPr>
                <w:rFonts w:cs="AcuminVariableConcept"/>
                <w:b/>
                <w:bCs/>
                <w:color w:val="2C2D35"/>
                <w:sz w:val="24"/>
                <w:szCs w:val="24"/>
              </w:rPr>
              <w:t xml:space="preserve"> </w:t>
            </w:r>
            <w:proofErr w:type="spellStart"/>
            <w:r w:rsidRPr="000D3966">
              <w:rPr>
                <w:rFonts w:cs="AcuminVariableConcept"/>
                <w:b/>
                <w:bCs/>
                <w:color w:val="2C2D35"/>
                <w:sz w:val="24"/>
                <w:szCs w:val="24"/>
              </w:rPr>
              <w:t>ter</w:t>
            </w:r>
            <w:proofErr w:type="spellEnd"/>
            <w:r w:rsidRPr="000D3966">
              <w:rPr>
                <w:rFonts w:cs="AcuminVariableConcept"/>
                <w:b/>
                <w:bCs/>
                <w:color w:val="2C2D35"/>
                <w:sz w:val="24"/>
                <w:szCs w:val="24"/>
              </w:rPr>
              <w:t xml:space="preserve"> income</w:t>
            </w:r>
          </w:p>
          <w:p w14:paraId="63A590CA" w14:textId="77777777" w:rsidR="006A3035" w:rsidRPr="000D3966" w:rsidRDefault="006A3035" w:rsidP="006A3035">
            <w:pPr>
              <w:autoSpaceDE w:val="0"/>
              <w:autoSpaceDN w:val="0"/>
              <w:adjustRightInd w:val="0"/>
              <w:spacing w:after="0" w:line="240" w:lineRule="auto"/>
              <w:ind w:left="426"/>
              <w:rPr>
                <w:rFonts w:cs="AcuminVariableConcept"/>
                <w:b/>
                <w:bCs/>
                <w:color w:val="2C2D35"/>
                <w:sz w:val="24"/>
                <w:szCs w:val="24"/>
              </w:rPr>
            </w:pPr>
            <w:r w:rsidRPr="000D3966">
              <w:rPr>
                <w:rFonts w:cs="AcuminVariableConcept"/>
                <w:b/>
                <w:bCs/>
                <w:color w:val="2C2D35"/>
                <w:sz w:val="24"/>
                <w:szCs w:val="24"/>
              </w:rPr>
              <w:t>tax, attributable to the members of Arts Access Society</w:t>
            </w:r>
          </w:p>
          <w:p w14:paraId="12E239A7" w14:textId="61B07AAF" w:rsidR="00F1638E" w:rsidRPr="000D3966" w:rsidRDefault="006A3035" w:rsidP="006A3035">
            <w:pPr>
              <w:pStyle w:val="TableParagraph"/>
              <w:spacing w:before="43"/>
              <w:ind w:left="426"/>
              <w:rPr>
                <w:rFonts w:asciiTheme="minorHAnsi" w:hAnsiTheme="minorHAnsi" w:cstheme="minorHAnsi"/>
                <w:sz w:val="24"/>
              </w:rPr>
            </w:pPr>
            <w:r w:rsidRPr="000D3966">
              <w:rPr>
                <w:rFonts w:asciiTheme="minorHAnsi" w:hAnsiTheme="minorHAnsi" w:cs="AcuminVariableConcept"/>
                <w:b/>
                <w:bCs/>
                <w:color w:val="2C2D35"/>
                <w:sz w:val="24"/>
                <w:szCs w:val="24"/>
              </w:rPr>
              <w:t>incorporated</w:t>
            </w:r>
          </w:p>
        </w:tc>
        <w:tc>
          <w:tcPr>
            <w:tcW w:w="2665" w:type="dxa"/>
            <w:vAlign w:val="center"/>
          </w:tcPr>
          <w:p w14:paraId="0BCA7BCF" w14:textId="695CD5A6" w:rsidR="00F1638E" w:rsidRPr="000D3966" w:rsidRDefault="006A3035" w:rsidP="006A3035">
            <w:pPr>
              <w:pStyle w:val="TableParagraph"/>
              <w:spacing w:before="44"/>
              <w:ind w:right="383"/>
              <w:jc w:val="right"/>
              <w:rPr>
                <w:rFonts w:asciiTheme="minorHAnsi" w:hAnsiTheme="minorHAnsi" w:cstheme="minorHAnsi"/>
                <w:sz w:val="24"/>
              </w:rPr>
            </w:pPr>
            <w:r w:rsidRPr="000D3966">
              <w:rPr>
                <w:rFonts w:asciiTheme="minorHAnsi" w:hAnsiTheme="minorHAnsi" w:cstheme="minorHAnsi"/>
                <w:sz w:val="24"/>
              </w:rPr>
              <w:t>(59,155)</w:t>
            </w:r>
          </w:p>
        </w:tc>
        <w:tc>
          <w:tcPr>
            <w:tcW w:w="1751" w:type="dxa"/>
            <w:vAlign w:val="center"/>
          </w:tcPr>
          <w:p w14:paraId="71FC7A41" w14:textId="7496CD88" w:rsidR="00F1638E" w:rsidRPr="000D3966" w:rsidRDefault="006A3035" w:rsidP="006A3035">
            <w:pPr>
              <w:pStyle w:val="TableParagraph"/>
              <w:spacing w:before="45"/>
              <w:ind w:right="570"/>
              <w:jc w:val="right"/>
              <w:rPr>
                <w:rFonts w:asciiTheme="minorHAnsi" w:hAnsiTheme="minorHAnsi" w:cstheme="minorHAnsi"/>
                <w:sz w:val="24"/>
              </w:rPr>
            </w:pPr>
            <w:r w:rsidRPr="000D3966">
              <w:rPr>
                <w:rFonts w:asciiTheme="minorHAnsi" w:hAnsiTheme="minorHAnsi" w:cstheme="minorHAnsi"/>
                <w:sz w:val="24"/>
              </w:rPr>
              <w:t>19,003</w:t>
            </w:r>
          </w:p>
        </w:tc>
      </w:tr>
      <w:tr w:rsidR="00F1638E" w:rsidRPr="00B2121F" w14:paraId="3CB0D743" w14:textId="77777777" w:rsidTr="6D72FE1E">
        <w:trPr>
          <w:trHeight w:val="454"/>
        </w:trPr>
        <w:tc>
          <w:tcPr>
            <w:tcW w:w="5932" w:type="dxa"/>
            <w:vAlign w:val="center"/>
          </w:tcPr>
          <w:p w14:paraId="3CD641BE" w14:textId="7990B968" w:rsidR="00F1638E" w:rsidRPr="000D3966" w:rsidRDefault="006A3035" w:rsidP="006A3035">
            <w:pPr>
              <w:pStyle w:val="TableParagraph"/>
              <w:spacing w:before="43"/>
              <w:ind w:left="669"/>
              <w:rPr>
                <w:rFonts w:asciiTheme="minorHAnsi" w:hAnsiTheme="minorHAnsi" w:cstheme="minorHAnsi"/>
                <w:sz w:val="24"/>
              </w:rPr>
            </w:pPr>
            <w:r w:rsidRPr="000D3966">
              <w:rPr>
                <w:rFonts w:asciiTheme="minorHAnsi" w:hAnsiTheme="minorHAnsi" w:cstheme="minorHAnsi"/>
                <w:w w:val="105"/>
                <w:sz w:val="24"/>
              </w:rPr>
              <w:t>Other comprehensive income/expense for the year net of tax</w:t>
            </w:r>
          </w:p>
        </w:tc>
        <w:tc>
          <w:tcPr>
            <w:tcW w:w="2665" w:type="dxa"/>
            <w:vAlign w:val="center"/>
          </w:tcPr>
          <w:p w14:paraId="02A4DC16" w14:textId="05F16B66" w:rsidR="00F1638E" w:rsidRPr="000D3966" w:rsidRDefault="006A3035" w:rsidP="006A3035">
            <w:pPr>
              <w:pStyle w:val="TableParagraph"/>
              <w:spacing w:before="44"/>
              <w:ind w:right="384"/>
              <w:jc w:val="right"/>
              <w:rPr>
                <w:rFonts w:asciiTheme="minorHAnsi" w:hAnsiTheme="minorHAnsi" w:cstheme="minorHAnsi"/>
                <w:sz w:val="24"/>
              </w:rPr>
            </w:pPr>
            <w:r w:rsidRPr="000D3966">
              <w:rPr>
                <w:rFonts w:asciiTheme="minorHAnsi" w:hAnsiTheme="minorHAnsi" w:cstheme="minorHAnsi"/>
                <w:w w:val="105"/>
                <w:sz w:val="24"/>
              </w:rPr>
              <w:t>0</w:t>
            </w:r>
          </w:p>
        </w:tc>
        <w:tc>
          <w:tcPr>
            <w:tcW w:w="1751" w:type="dxa"/>
            <w:vAlign w:val="center"/>
          </w:tcPr>
          <w:p w14:paraId="099BE51A" w14:textId="58E64F11" w:rsidR="00F1638E" w:rsidRPr="000D3966" w:rsidRDefault="006A3035" w:rsidP="006A3035">
            <w:pPr>
              <w:pStyle w:val="TableParagraph"/>
              <w:spacing w:before="45"/>
              <w:ind w:right="570"/>
              <w:jc w:val="right"/>
              <w:rPr>
                <w:rFonts w:asciiTheme="minorHAnsi" w:hAnsiTheme="minorHAnsi" w:cstheme="minorHAnsi"/>
                <w:sz w:val="24"/>
              </w:rPr>
            </w:pPr>
            <w:r w:rsidRPr="000D3966">
              <w:rPr>
                <w:rFonts w:asciiTheme="minorHAnsi" w:hAnsiTheme="minorHAnsi" w:cstheme="minorHAnsi"/>
                <w:w w:val="105"/>
                <w:sz w:val="24"/>
              </w:rPr>
              <w:t>0</w:t>
            </w:r>
          </w:p>
        </w:tc>
      </w:tr>
      <w:tr w:rsidR="00F1638E" w:rsidRPr="00B2121F" w14:paraId="3BFB7392" w14:textId="77777777" w:rsidTr="6D72FE1E">
        <w:trPr>
          <w:trHeight w:val="454"/>
        </w:trPr>
        <w:tc>
          <w:tcPr>
            <w:tcW w:w="5932" w:type="dxa"/>
            <w:vAlign w:val="center"/>
          </w:tcPr>
          <w:p w14:paraId="51E992CD" w14:textId="00547B99" w:rsidR="00F1638E" w:rsidRPr="000D3966" w:rsidRDefault="00371564" w:rsidP="006A3035">
            <w:pPr>
              <w:pStyle w:val="TableParagraph"/>
              <w:spacing w:before="43"/>
              <w:ind w:left="601" w:right="1128"/>
              <w:rPr>
                <w:rFonts w:asciiTheme="minorHAnsi" w:hAnsiTheme="minorHAnsi" w:cstheme="minorHAnsi"/>
                <w:sz w:val="24"/>
              </w:rPr>
            </w:pPr>
            <w:r w:rsidRPr="000D3966">
              <w:rPr>
                <w:rFonts w:asciiTheme="minorHAnsi" w:hAnsiTheme="minorHAnsi" w:cs="AcuminVariableConcept"/>
                <w:color w:val="2C2D35"/>
                <w:sz w:val="24"/>
                <w:szCs w:val="24"/>
              </w:rPr>
              <w:t>Asset Sales &amp; Market Revaluation of Investments</w:t>
            </w:r>
          </w:p>
        </w:tc>
        <w:tc>
          <w:tcPr>
            <w:tcW w:w="2665" w:type="dxa"/>
            <w:vAlign w:val="center"/>
          </w:tcPr>
          <w:p w14:paraId="08B1AA1A" w14:textId="5C3095D5" w:rsidR="00F1638E" w:rsidRPr="000D3966" w:rsidRDefault="00371564" w:rsidP="006A3035">
            <w:pPr>
              <w:pStyle w:val="TableParagraph"/>
              <w:spacing w:before="44"/>
              <w:ind w:right="383"/>
              <w:jc w:val="right"/>
              <w:rPr>
                <w:rFonts w:asciiTheme="minorHAnsi" w:hAnsiTheme="minorHAnsi" w:cstheme="minorHAnsi"/>
                <w:sz w:val="24"/>
              </w:rPr>
            </w:pPr>
            <w:r w:rsidRPr="000D3966">
              <w:rPr>
                <w:rFonts w:asciiTheme="minorHAnsi" w:hAnsiTheme="minorHAnsi" w:cs="AcuminVariableConcept"/>
                <w:color w:val="2C2D35"/>
                <w:sz w:val="24"/>
                <w:szCs w:val="24"/>
              </w:rPr>
              <w:t>193,037</w:t>
            </w:r>
          </w:p>
        </w:tc>
        <w:tc>
          <w:tcPr>
            <w:tcW w:w="1751" w:type="dxa"/>
            <w:vAlign w:val="center"/>
          </w:tcPr>
          <w:p w14:paraId="22D762F1" w14:textId="6D9A0F76" w:rsidR="00F1638E" w:rsidRPr="000D3966" w:rsidRDefault="00371564" w:rsidP="006A3035">
            <w:pPr>
              <w:pStyle w:val="TableParagraph"/>
              <w:spacing w:before="45"/>
              <w:ind w:right="575"/>
              <w:jc w:val="right"/>
              <w:rPr>
                <w:rFonts w:asciiTheme="minorHAnsi" w:hAnsiTheme="minorHAnsi" w:cstheme="minorHAnsi"/>
                <w:sz w:val="24"/>
              </w:rPr>
            </w:pPr>
            <w:r w:rsidRPr="000D3966">
              <w:rPr>
                <w:rFonts w:asciiTheme="minorHAnsi" w:hAnsiTheme="minorHAnsi" w:cs="AcuminVariableConcept"/>
                <w:color w:val="2C2D35"/>
                <w:sz w:val="24"/>
                <w:szCs w:val="24"/>
              </w:rPr>
              <w:t>(85,820)</w:t>
            </w:r>
          </w:p>
        </w:tc>
      </w:tr>
      <w:tr w:rsidR="00F1638E" w:rsidRPr="00B2121F" w14:paraId="08C752BD" w14:textId="77777777" w:rsidTr="6D72FE1E">
        <w:trPr>
          <w:trHeight w:val="454"/>
        </w:trPr>
        <w:tc>
          <w:tcPr>
            <w:tcW w:w="5932" w:type="dxa"/>
            <w:shd w:val="clear" w:color="auto" w:fill="D6EAF4"/>
            <w:vAlign w:val="center"/>
          </w:tcPr>
          <w:p w14:paraId="5FEFC9B6" w14:textId="7FC92DEA" w:rsidR="00F1638E" w:rsidRPr="000D3966" w:rsidRDefault="00371564" w:rsidP="00371564">
            <w:pPr>
              <w:pStyle w:val="TableParagraph"/>
              <w:spacing w:before="35"/>
              <w:ind w:left="385"/>
              <w:rPr>
                <w:rFonts w:asciiTheme="minorHAnsi" w:hAnsiTheme="minorHAnsi" w:cstheme="minorHAnsi"/>
                <w:b/>
                <w:bCs/>
                <w:w w:val="115"/>
                <w:sz w:val="24"/>
              </w:rPr>
            </w:pPr>
            <w:r w:rsidRPr="000D3966">
              <w:rPr>
                <w:rFonts w:asciiTheme="minorHAnsi" w:hAnsiTheme="minorHAnsi" w:cstheme="minorHAnsi"/>
                <w:b/>
                <w:bCs/>
                <w:w w:val="115"/>
                <w:sz w:val="24"/>
              </w:rPr>
              <w:t>Total comprehensive surplus/(deficit) for the year attributable to the members of Arts Access Society Incorporated</w:t>
            </w:r>
          </w:p>
        </w:tc>
        <w:tc>
          <w:tcPr>
            <w:tcW w:w="2665" w:type="dxa"/>
            <w:shd w:val="clear" w:color="auto" w:fill="D6EAF4"/>
            <w:vAlign w:val="center"/>
          </w:tcPr>
          <w:p w14:paraId="0D1A3EA9" w14:textId="741BB0FF" w:rsidR="00F1638E" w:rsidRPr="000D3966" w:rsidRDefault="62EA532B" w:rsidP="6D72FE1E">
            <w:pPr>
              <w:pStyle w:val="TableParagraph"/>
              <w:spacing w:before="36"/>
              <w:ind w:right="391"/>
              <w:jc w:val="right"/>
              <w:rPr>
                <w:rFonts w:asciiTheme="minorHAnsi" w:hAnsiTheme="minorHAnsi" w:cstheme="minorBidi"/>
                <w:b/>
                <w:bCs/>
                <w:sz w:val="24"/>
                <w:szCs w:val="24"/>
              </w:rPr>
            </w:pPr>
            <w:r w:rsidRPr="6D72FE1E">
              <w:rPr>
                <w:rFonts w:asciiTheme="minorHAnsi" w:hAnsiTheme="minorHAnsi" w:cs="AcuminVariableConcept"/>
                <w:b/>
                <w:bCs/>
                <w:color w:val="2C2D35"/>
                <w:sz w:val="24"/>
                <w:szCs w:val="24"/>
              </w:rPr>
              <w:t>133,882</w:t>
            </w:r>
          </w:p>
        </w:tc>
        <w:tc>
          <w:tcPr>
            <w:tcW w:w="1751" w:type="dxa"/>
            <w:shd w:val="clear" w:color="auto" w:fill="D6EAF4"/>
            <w:vAlign w:val="center"/>
          </w:tcPr>
          <w:p w14:paraId="42E29051" w14:textId="58F59506" w:rsidR="00F1638E" w:rsidRPr="000D3966" w:rsidRDefault="62EA532B" w:rsidP="6D72FE1E">
            <w:pPr>
              <w:pStyle w:val="TableParagraph"/>
              <w:spacing w:before="37"/>
              <w:ind w:right="583"/>
              <w:jc w:val="right"/>
              <w:rPr>
                <w:rFonts w:asciiTheme="minorHAnsi" w:hAnsiTheme="minorHAnsi" w:cstheme="minorBidi"/>
                <w:b/>
                <w:bCs/>
                <w:sz w:val="24"/>
                <w:szCs w:val="24"/>
              </w:rPr>
            </w:pPr>
            <w:r w:rsidRPr="6D72FE1E">
              <w:rPr>
                <w:rFonts w:asciiTheme="minorHAnsi" w:hAnsiTheme="minorHAnsi" w:cs="AcuminVariableConcept"/>
                <w:b/>
                <w:bCs/>
                <w:color w:val="2C2D35"/>
                <w:sz w:val="24"/>
                <w:szCs w:val="24"/>
              </w:rPr>
              <w:t>(65,827)</w:t>
            </w:r>
          </w:p>
        </w:tc>
      </w:tr>
    </w:tbl>
    <w:p w14:paraId="53EF37FA" w14:textId="054FAC8C" w:rsidR="00520FC2" w:rsidRDefault="00520FC2" w:rsidP="003303D3">
      <w:pPr>
        <w:pStyle w:val="body"/>
      </w:pPr>
    </w:p>
    <w:p w14:paraId="5C9B1C3F" w14:textId="75B3849E" w:rsidR="006352DC" w:rsidRDefault="006352DC" w:rsidP="006352DC">
      <w:pPr>
        <w:pStyle w:val="body"/>
      </w:pPr>
      <w:r w:rsidRPr="006352DC">
        <w:t>This Statement should be read in conjunction with the Notes to the Accounts.</w:t>
      </w:r>
    </w:p>
    <w:p w14:paraId="02F39517" w14:textId="77777777" w:rsidR="006352DC" w:rsidRDefault="006352DC">
      <w:pPr>
        <w:rPr>
          <w:rFonts w:cstheme="minorHAnsi"/>
          <w:color w:val="2C2D35"/>
          <w:spacing w:val="-2"/>
          <w:sz w:val="28"/>
          <w:szCs w:val="28"/>
          <w:lang w:val="en-GB"/>
        </w:rPr>
      </w:pPr>
      <w:r>
        <w:br w:type="page"/>
      </w:r>
    </w:p>
    <w:p w14:paraId="30106C43" w14:textId="77777777" w:rsidR="006352DC" w:rsidRDefault="006352DC" w:rsidP="006352DC">
      <w:pPr>
        <w:pStyle w:val="body"/>
      </w:pPr>
      <w:r>
        <w:lastRenderedPageBreak/>
        <w:t xml:space="preserve">Art Access Society Incorporated, Trading </w:t>
      </w:r>
      <w:proofErr w:type="gramStart"/>
      <w:r>
        <w:t>As</w:t>
      </w:r>
      <w:proofErr w:type="gramEnd"/>
      <w:r>
        <w:t xml:space="preserve"> Arts Access Victoria ABN 34 192 751 897</w:t>
      </w:r>
    </w:p>
    <w:p w14:paraId="0116056F" w14:textId="77777777" w:rsidR="006352DC" w:rsidRDefault="006352DC" w:rsidP="006352DC">
      <w:pPr>
        <w:pStyle w:val="body"/>
      </w:pPr>
    </w:p>
    <w:p w14:paraId="6A99CC60" w14:textId="41F95CB5" w:rsidR="006352DC" w:rsidRDefault="006352DC" w:rsidP="006352DC">
      <w:pPr>
        <w:pStyle w:val="body"/>
      </w:pPr>
      <w:r>
        <w:t>Statement of Financial Position</w:t>
      </w:r>
      <w:r w:rsidR="007D1DDC">
        <w:t xml:space="preserve"> </w:t>
      </w:r>
      <w:proofErr w:type="gramStart"/>
      <w:r>
        <w:t>For</w:t>
      </w:r>
      <w:proofErr w:type="gramEnd"/>
      <w:r>
        <w:t xml:space="preserve"> the Year Ending 31 December 2019</w:t>
      </w:r>
    </w:p>
    <w:p w14:paraId="61820841" w14:textId="17D42E1A" w:rsidR="000D3966" w:rsidRDefault="007D1DDC" w:rsidP="006352DC">
      <w:pPr>
        <w:pStyle w:val="body"/>
      </w:pPr>
      <w:r>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73"/>
        <w:gridCol w:w="1134"/>
        <w:gridCol w:w="2268"/>
        <w:gridCol w:w="2268"/>
      </w:tblGrid>
      <w:tr w:rsidR="000D3966" w:rsidRPr="00B2121F" w14:paraId="1E91659D" w14:textId="77777777" w:rsidTr="6D72FE1E">
        <w:trPr>
          <w:trHeight w:val="454"/>
        </w:trPr>
        <w:tc>
          <w:tcPr>
            <w:tcW w:w="4673" w:type="dxa"/>
            <w:shd w:val="clear" w:color="auto" w:fill="D6EAF4"/>
            <w:vAlign w:val="center"/>
          </w:tcPr>
          <w:p w14:paraId="7C3BB231" w14:textId="77777777" w:rsidR="000D3966" w:rsidRPr="00B2121F" w:rsidRDefault="000D3966" w:rsidP="00DF601D">
            <w:pPr>
              <w:pStyle w:val="TableParagraph"/>
              <w:ind w:right="566"/>
              <w:rPr>
                <w:rFonts w:asciiTheme="minorHAnsi" w:hAnsiTheme="minorHAnsi" w:cstheme="minorHAnsi"/>
                <w:sz w:val="24"/>
              </w:rPr>
            </w:pPr>
          </w:p>
        </w:tc>
        <w:tc>
          <w:tcPr>
            <w:tcW w:w="1134" w:type="dxa"/>
            <w:shd w:val="clear" w:color="auto" w:fill="D6EAF4"/>
          </w:tcPr>
          <w:p w14:paraId="25E4FF5A" w14:textId="29768436" w:rsidR="000D3966" w:rsidRPr="00B2121F" w:rsidRDefault="00E458B3" w:rsidP="00B81306">
            <w:pPr>
              <w:pStyle w:val="TableParagraph"/>
              <w:spacing w:before="181"/>
              <w:ind w:left="1453"/>
              <w:rPr>
                <w:rFonts w:asciiTheme="minorHAnsi" w:hAnsiTheme="minorHAnsi" w:cstheme="minorHAnsi"/>
                <w:w w:val="105"/>
                <w:sz w:val="24"/>
              </w:rPr>
            </w:pPr>
            <w:r>
              <w:rPr>
                <w:rFonts w:asciiTheme="minorHAnsi" w:hAnsiTheme="minorHAnsi" w:cstheme="minorHAnsi"/>
                <w:noProof/>
                <w:sz w:val="24"/>
              </w:rPr>
              <mc:AlternateContent>
                <mc:Choice Requires="wps">
                  <w:drawing>
                    <wp:anchor distT="0" distB="0" distL="114300" distR="114300" simplePos="0" relativeHeight="251659264" behindDoc="0" locked="0" layoutInCell="1" allowOverlap="1" wp14:anchorId="42BAE096" wp14:editId="5775ACE3">
                      <wp:simplePos x="0" y="0"/>
                      <wp:positionH relativeFrom="column">
                        <wp:posOffset>124460</wp:posOffset>
                      </wp:positionH>
                      <wp:positionV relativeFrom="paragraph">
                        <wp:posOffset>193040</wp:posOffset>
                      </wp:positionV>
                      <wp:extent cx="527050" cy="254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27050" cy="254000"/>
                              </a:xfrm>
                              <a:prstGeom prst="rect">
                                <a:avLst/>
                              </a:prstGeom>
                              <a:noFill/>
                              <a:ln w="6350">
                                <a:noFill/>
                              </a:ln>
                            </wps:spPr>
                            <wps:txbx>
                              <w:txbxContent>
                                <w:p w14:paraId="7F85073B" w14:textId="1AACD92C" w:rsidR="00E458B3" w:rsidRPr="00E458B3" w:rsidRDefault="00E458B3">
                                  <w:pPr>
                                    <w:rPr>
                                      <w:lang w:val="en-US"/>
                                    </w:rPr>
                                  </w:pPr>
                                  <w:r>
                                    <w:rPr>
                                      <w:lang w:val="en-US"/>
                                    </w:rPr>
                                    <w:t>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BAE096" id="_x0000_t202" coordsize="21600,21600" o:spt="202" path="m,l,21600r21600,l21600,xe">
                      <v:stroke joinstyle="miter"/>
                      <v:path gradientshapeok="t" o:connecttype="rect"/>
                    </v:shapetype>
                    <v:shape id="Text Box 1" o:spid="_x0000_s1026" type="#_x0000_t202" style="position:absolute;left:0;text-align:left;margin-left:9.8pt;margin-top:15.2pt;width:41.5pt;height:2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OacKQIAAFAEAAAOAAAAZHJzL2Uyb0RvYy54bWysVE2P2jAQvVfqf7B8LwkUdltEWNFdUVVC&#10;uytBtWfjOBAp8bi2IaG/vs9OYOm2p6oXM56ZzMd7z8zu2rpiR2VdSTrjw0HKmdKS8lLvMv59s/zw&#10;iTPnhc5FRVpl/KQcv5u/fzdrzFSNaE9VrixDEe2mjcn43nszTRIn96oWbkBGaQQLsrXwuNpdklvR&#10;oHpdJaM0vUkasrmxJJVz8D50QT6P9YtCSf9UFE55VmUcs/l42nhuw5nMZ2K6s8LsS9mPIf5hilqU&#10;Gk0vpR6EF+xgyz9K1aW05KjwA0l1QkVRShV3wDbD9M02670wKu4CcJy5wOT+X1n5eHy2rMzBHWda&#10;1KBoo1rPvlDLhgGdxrgpktYGab6FO2T2fgdnWLotbB1+sQ5DHDifLtiGYhLOyeg2nSAiERpNxmka&#10;sU9ePzbW+a+KahaMjFtQFxEVx5XzaIjUc0ropWlZVlWkr9KsyfjNR5T/LYIvKo0PwwrdqMHy7bbt&#10;599SfsJaljpZOCOXJZqvhPPPwkIHmBfa9k84iorQhHqLsz3Zn3/zh3zQgyhnDXSVcffjIKzirPqm&#10;Qdzn4XgchBgv48ntCBd7HdleR/ShvidIF+RgumiGfF+dzcJS/YInsAhdERJaonfG/dm8953a8YSk&#10;WixiEqRnhF/ptZGhdAAtQLtpX4Q1Pf4exD3SWYFi+oaGLreDe3HwVJSRowBwh2qPO2QbqeufWHgX&#10;1/eY9fpHMP8FAAD//wMAUEsDBBQABgAIAAAAIQA8jZWJ3gAAAAgBAAAPAAAAZHJzL2Rvd25yZXYu&#10;eG1sTI89T8MwEIZ3JP6DdUhs1CZAaUOcqopUISE6tHTp5sTXJCI+h9htA7+e6wTj+6H3nssWo+vE&#10;CYfQetJwP1EgkCpvW6o17D5WdzMQIRqypvOEGr4xwCK/vspMav2ZNnjaxlrwCIXUaGhi7FMpQ9Wg&#10;M2HieyTODn5wJrIcamkHc+Zx18lEqal0piW+0Jgeiwarz+3RaXgrVmuzKRM3++mK1/fDsv/a7Z+0&#10;vr0Zly8gIo7xrwwXfEaHnJlKfyQbRMd6PuWmhgf1COKSq4SNUsMzGzLP5P8H8l8AAAD//wMAUEsB&#10;Ai0AFAAGAAgAAAAhALaDOJL+AAAA4QEAABMAAAAAAAAAAAAAAAAAAAAAAFtDb250ZW50X1R5cGVz&#10;XS54bWxQSwECLQAUAAYACAAAACEAOP0h/9YAAACUAQAACwAAAAAAAAAAAAAAAAAvAQAAX3JlbHMv&#10;LnJlbHNQSwECLQAUAAYACAAAACEA1NzmnCkCAABQBAAADgAAAAAAAAAAAAAAAAAuAgAAZHJzL2Uy&#10;b0RvYy54bWxQSwECLQAUAAYACAAAACEAPI2Vid4AAAAIAQAADwAAAAAAAAAAAAAAAACDBAAAZHJz&#10;L2Rvd25yZXYueG1sUEsFBgAAAAAEAAQA8wAAAI4FAAAAAA==&#10;" filled="f" stroked="f" strokeweight=".5pt">
                      <v:textbox>
                        <w:txbxContent>
                          <w:p w14:paraId="7F85073B" w14:textId="1AACD92C" w:rsidR="00E458B3" w:rsidRPr="00E458B3" w:rsidRDefault="00E458B3">
                            <w:pPr>
                              <w:rPr>
                                <w:lang w:val="en-US"/>
                              </w:rPr>
                            </w:pPr>
                            <w:r>
                              <w:rPr>
                                <w:lang w:val="en-US"/>
                              </w:rPr>
                              <w:t>Note</w:t>
                            </w:r>
                          </w:p>
                        </w:txbxContent>
                      </v:textbox>
                    </v:shape>
                  </w:pict>
                </mc:Fallback>
              </mc:AlternateContent>
            </w:r>
            <w:r w:rsidR="00DF601D">
              <w:rPr>
                <w:rFonts w:asciiTheme="minorHAnsi" w:hAnsiTheme="minorHAnsi" w:cstheme="minorHAnsi"/>
                <w:w w:val="105"/>
                <w:sz w:val="24"/>
              </w:rPr>
              <w:t>v</w:t>
            </w:r>
          </w:p>
        </w:tc>
        <w:tc>
          <w:tcPr>
            <w:tcW w:w="2268" w:type="dxa"/>
            <w:shd w:val="clear" w:color="auto" w:fill="D6EAF4"/>
          </w:tcPr>
          <w:p w14:paraId="192FEE73" w14:textId="0A773CFC" w:rsidR="000D3966" w:rsidRPr="00B2121F" w:rsidRDefault="007D1DDC" w:rsidP="6D72FE1E">
            <w:pPr>
              <w:pStyle w:val="TableParagraph"/>
              <w:spacing w:before="181"/>
              <w:ind w:right="282"/>
              <w:jc w:val="right"/>
              <w:rPr>
                <w:rFonts w:asciiTheme="minorHAnsi" w:hAnsiTheme="minorHAnsi" w:cstheme="minorBidi"/>
                <w:sz w:val="24"/>
                <w:szCs w:val="24"/>
              </w:rPr>
            </w:pPr>
            <w:r w:rsidRPr="6D72FE1E">
              <w:rPr>
                <w:rFonts w:asciiTheme="minorHAnsi" w:hAnsiTheme="minorHAnsi" w:cs="AcuminVariableConcept"/>
                <w:color w:val="2C2D35"/>
                <w:sz w:val="24"/>
                <w:szCs w:val="24"/>
              </w:rPr>
              <w:t>As at</w:t>
            </w:r>
            <w:r>
              <w:rPr>
                <w:rFonts w:ascii="AcuminVariableConcept" w:hAnsi="AcuminVariableConcept" w:cs="AcuminVariableConcept"/>
                <w:color w:val="2C2D35"/>
                <w:sz w:val="24"/>
                <w:szCs w:val="24"/>
              </w:rPr>
              <w:t xml:space="preserve"> </w:t>
            </w:r>
            <w:r w:rsidR="62EA532B" w:rsidRPr="6D72FE1E">
              <w:rPr>
                <w:rFonts w:asciiTheme="minorHAnsi" w:hAnsiTheme="minorHAnsi" w:cstheme="minorBidi"/>
                <w:w w:val="105"/>
                <w:sz w:val="24"/>
                <w:szCs w:val="24"/>
              </w:rPr>
              <w:t>DEC 19</w:t>
            </w:r>
          </w:p>
          <w:p w14:paraId="5EDB73F0" w14:textId="77777777" w:rsidR="000D3966" w:rsidRPr="00B2121F" w:rsidRDefault="000D3966" w:rsidP="007D1DDC">
            <w:pPr>
              <w:pStyle w:val="TableParagraph"/>
              <w:spacing w:before="89"/>
              <w:ind w:right="282" w:hanging="417"/>
              <w:jc w:val="right"/>
              <w:rPr>
                <w:rFonts w:asciiTheme="minorHAnsi" w:hAnsiTheme="minorHAnsi" w:cstheme="minorHAnsi"/>
                <w:sz w:val="24"/>
              </w:rPr>
            </w:pPr>
            <w:r w:rsidRPr="00B2121F">
              <w:rPr>
                <w:rFonts w:asciiTheme="minorHAnsi" w:hAnsiTheme="minorHAnsi" w:cstheme="minorHAnsi"/>
                <w:w w:val="104"/>
                <w:sz w:val="24"/>
              </w:rPr>
              <w:t>$</w:t>
            </w:r>
          </w:p>
        </w:tc>
        <w:tc>
          <w:tcPr>
            <w:tcW w:w="2268" w:type="dxa"/>
            <w:shd w:val="clear" w:color="auto" w:fill="D6EAF4"/>
            <w:vAlign w:val="center"/>
          </w:tcPr>
          <w:p w14:paraId="23FBA6F0" w14:textId="2F0B3B02" w:rsidR="000D3966" w:rsidRPr="00B2121F" w:rsidRDefault="007D1DDC" w:rsidP="007D1DDC">
            <w:pPr>
              <w:pStyle w:val="TableParagraph"/>
              <w:spacing w:before="181"/>
              <w:ind w:left="426" w:right="547"/>
              <w:jc w:val="right"/>
              <w:rPr>
                <w:rFonts w:asciiTheme="minorHAnsi" w:hAnsiTheme="minorHAnsi" w:cstheme="minorHAnsi"/>
                <w:sz w:val="24"/>
              </w:rPr>
            </w:pPr>
            <w:r w:rsidRPr="007D1DDC">
              <w:rPr>
                <w:rFonts w:asciiTheme="minorHAnsi" w:hAnsiTheme="minorHAnsi" w:cs="AcuminVariableConcept"/>
                <w:color w:val="2C2D35"/>
                <w:sz w:val="24"/>
                <w:szCs w:val="24"/>
              </w:rPr>
              <w:t>As at</w:t>
            </w:r>
            <w:r>
              <w:rPr>
                <w:rFonts w:ascii="AcuminVariableConcept" w:hAnsi="AcuminVariableConcept" w:cs="AcuminVariableConcept"/>
                <w:color w:val="2C2D35"/>
                <w:sz w:val="24"/>
                <w:szCs w:val="24"/>
              </w:rPr>
              <w:t xml:space="preserve"> </w:t>
            </w:r>
            <w:r w:rsidR="000D3966" w:rsidRPr="00B2121F">
              <w:rPr>
                <w:rFonts w:asciiTheme="minorHAnsi" w:hAnsiTheme="minorHAnsi" w:cstheme="minorHAnsi"/>
                <w:w w:val="105"/>
                <w:sz w:val="24"/>
              </w:rPr>
              <w:t>DEC 18</w:t>
            </w:r>
          </w:p>
          <w:p w14:paraId="08401C7C" w14:textId="77777777" w:rsidR="000D3966" w:rsidRPr="00B2121F" w:rsidRDefault="000D3966" w:rsidP="000D3966">
            <w:pPr>
              <w:pStyle w:val="TableParagraph"/>
              <w:spacing w:before="89"/>
              <w:ind w:left="1283" w:right="547"/>
              <w:jc w:val="right"/>
              <w:rPr>
                <w:rFonts w:asciiTheme="minorHAnsi" w:hAnsiTheme="minorHAnsi" w:cstheme="minorHAnsi"/>
                <w:sz w:val="24"/>
              </w:rPr>
            </w:pPr>
            <w:r w:rsidRPr="00B2121F">
              <w:rPr>
                <w:rFonts w:asciiTheme="minorHAnsi" w:hAnsiTheme="minorHAnsi" w:cstheme="minorHAnsi"/>
                <w:w w:val="104"/>
                <w:sz w:val="24"/>
              </w:rPr>
              <w:t>$</w:t>
            </w:r>
          </w:p>
        </w:tc>
      </w:tr>
      <w:tr w:rsidR="000D3966" w:rsidRPr="00B2121F" w14:paraId="6D2D3AAD" w14:textId="77777777" w:rsidTr="6D72FE1E">
        <w:trPr>
          <w:trHeight w:val="454"/>
        </w:trPr>
        <w:tc>
          <w:tcPr>
            <w:tcW w:w="4673" w:type="dxa"/>
            <w:vAlign w:val="center"/>
          </w:tcPr>
          <w:p w14:paraId="4AF40416" w14:textId="77777777" w:rsidR="000D3966" w:rsidRPr="000D3966" w:rsidRDefault="000D3966" w:rsidP="00DF601D">
            <w:pPr>
              <w:pStyle w:val="TableParagraph"/>
              <w:spacing w:before="2"/>
              <w:ind w:right="566"/>
              <w:rPr>
                <w:rFonts w:asciiTheme="minorHAnsi" w:hAnsiTheme="minorHAnsi" w:cstheme="minorHAnsi"/>
                <w:sz w:val="29"/>
              </w:rPr>
            </w:pPr>
          </w:p>
          <w:p w14:paraId="0E4DA7D9" w14:textId="5B13CD7D" w:rsidR="000D3966" w:rsidRPr="000D3966" w:rsidRDefault="000D3966" w:rsidP="00DF601D">
            <w:pPr>
              <w:pStyle w:val="TableParagraph"/>
              <w:spacing w:before="1"/>
              <w:ind w:left="385" w:right="566"/>
              <w:rPr>
                <w:rFonts w:asciiTheme="minorHAnsi" w:hAnsiTheme="minorHAnsi" w:cstheme="minorHAnsi"/>
                <w:b/>
                <w:bCs/>
                <w:sz w:val="24"/>
              </w:rPr>
            </w:pPr>
            <w:r w:rsidRPr="000D3966">
              <w:rPr>
                <w:rFonts w:asciiTheme="minorHAnsi" w:hAnsiTheme="minorHAnsi" w:cstheme="minorHAnsi"/>
                <w:b/>
                <w:bCs/>
                <w:w w:val="110"/>
                <w:sz w:val="24"/>
              </w:rPr>
              <w:t>Assets</w:t>
            </w:r>
          </w:p>
        </w:tc>
        <w:tc>
          <w:tcPr>
            <w:tcW w:w="1134" w:type="dxa"/>
          </w:tcPr>
          <w:p w14:paraId="692D9780" w14:textId="42904ECA" w:rsidR="000D3966" w:rsidRPr="000D3966" w:rsidRDefault="000D3966" w:rsidP="6D72FE1E">
            <w:pPr>
              <w:pStyle w:val="TableParagraph"/>
              <w:jc w:val="right"/>
              <w:rPr>
                <w:rFonts w:asciiTheme="minorHAnsi" w:hAnsiTheme="minorHAnsi" w:cstheme="minorBidi"/>
                <w:sz w:val="24"/>
                <w:szCs w:val="24"/>
              </w:rPr>
            </w:pPr>
          </w:p>
        </w:tc>
        <w:tc>
          <w:tcPr>
            <w:tcW w:w="2268" w:type="dxa"/>
            <w:vAlign w:val="center"/>
          </w:tcPr>
          <w:p w14:paraId="542CD9DE" w14:textId="5D24D5DE" w:rsidR="000D3966" w:rsidRPr="000D3966" w:rsidRDefault="000D3966" w:rsidP="00B81306">
            <w:pPr>
              <w:pStyle w:val="TableParagraph"/>
              <w:jc w:val="right"/>
              <w:rPr>
                <w:rFonts w:asciiTheme="minorHAnsi" w:hAnsiTheme="minorHAnsi" w:cstheme="minorHAnsi"/>
                <w:sz w:val="24"/>
              </w:rPr>
            </w:pPr>
          </w:p>
        </w:tc>
        <w:tc>
          <w:tcPr>
            <w:tcW w:w="2268" w:type="dxa"/>
            <w:vAlign w:val="center"/>
          </w:tcPr>
          <w:p w14:paraId="57AEEFAA" w14:textId="77777777" w:rsidR="000D3966" w:rsidRPr="000D3966" w:rsidRDefault="000D3966" w:rsidP="00B81306">
            <w:pPr>
              <w:pStyle w:val="TableParagraph"/>
              <w:jc w:val="right"/>
              <w:rPr>
                <w:rFonts w:asciiTheme="minorHAnsi" w:hAnsiTheme="minorHAnsi" w:cstheme="minorHAnsi"/>
                <w:sz w:val="24"/>
              </w:rPr>
            </w:pPr>
          </w:p>
        </w:tc>
      </w:tr>
      <w:tr w:rsidR="000D3966" w:rsidRPr="00B2121F" w14:paraId="31498B27" w14:textId="77777777" w:rsidTr="6D72FE1E">
        <w:trPr>
          <w:trHeight w:val="454"/>
        </w:trPr>
        <w:tc>
          <w:tcPr>
            <w:tcW w:w="4673" w:type="dxa"/>
            <w:vAlign w:val="center"/>
          </w:tcPr>
          <w:p w14:paraId="7B30EA97" w14:textId="3D4CD3FC" w:rsidR="000D3966" w:rsidRPr="000D3966" w:rsidRDefault="000D3966" w:rsidP="00DF601D">
            <w:pPr>
              <w:pStyle w:val="TableParagraph"/>
              <w:spacing w:before="44"/>
              <w:ind w:left="669" w:right="566"/>
              <w:rPr>
                <w:rFonts w:asciiTheme="minorHAnsi" w:hAnsiTheme="minorHAnsi" w:cstheme="minorHAnsi"/>
                <w:b/>
                <w:bCs/>
                <w:sz w:val="24"/>
              </w:rPr>
            </w:pPr>
            <w:r w:rsidRPr="000D3966">
              <w:rPr>
                <w:rFonts w:asciiTheme="minorHAnsi" w:hAnsiTheme="minorHAnsi" w:cs="AcuminVariableConcept"/>
                <w:b/>
                <w:bCs/>
                <w:color w:val="2C2D35"/>
                <w:sz w:val="24"/>
                <w:szCs w:val="24"/>
              </w:rPr>
              <w:t>Current Assets</w:t>
            </w:r>
          </w:p>
        </w:tc>
        <w:tc>
          <w:tcPr>
            <w:tcW w:w="1134" w:type="dxa"/>
          </w:tcPr>
          <w:p w14:paraId="2016110B" w14:textId="66C7D04C" w:rsidR="000D3966" w:rsidRPr="000D3966" w:rsidRDefault="000D3966" w:rsidP="000D3966">
            <w:pPr>
              <w:pStyle w:val="TableParagraph"/>
              <w:spacing w:before="45"/>
              <w:ind w:right="378"/>
              <w:jc w:val="right"/>
              <w:rPr>
                <w:rFonts w:asciiTheme="minorHAnsi" w:hAnsiTheme="minorHAnsi" w:cstheme="minorHAnsi"/>
                <w:w w:val="105"/>
                <w:sz w:val="24"/>
              </w:rPr>
            </w:pPr>
            <w:r>
              <w:rPr>
                <w:rFonts w:asciiTheme="minorHAnsi" w:hAnsiTheme="minorHAnsi" w:cstheme="minorHAnsi"/>
                <w:w w:val="105"/>
                <w:sz w:val="24"/>
              </w:rPr>
              <w:t>2</w:t>
            </w:r>
          </w:p>
        </w:tc>
        <w:tc>
          <w:tcPr>
            <w:tcW w:w="2268" w:type="dxa"/>
            <w:vAlign w:val="center"/>
          </w:tcPr>
          <w:p w14:paraId="1EA4AADA" w14:textId="53EC8F6C" w:rsidR="000D3966" w:rsidRPr="000D3966" w:rsidRDefault="000D3966" w:rsidP="00B81306">
            <w:pPr>
              <w:pStyle w:val="TableParagraph"/>
              <w:spacing w:before="45"/>
              <w:ind w:right="378"/>
              <w:jc w:val="right"/>
              <w:rPr>
                <w:rFonts w:asciiTheme="minorHAnsi" w:hAnsiTheme="minorHAnsi" w:cstheme="minorHAnsi"/>
                <w:sz w:val="24"/>
              </w:rPr>
            </w:pPr>
            <w:r>
              <w:rPr>
                <w:rFonts w:asciiTheme="minorHAnsi" w:hAnsiTheme="minorHAnsi" w:cstheme="minorHAnsi"/>
                <w:w w:val="105"/>
                <w:sz w:val="24"/>
              </w:rPr>
              <w:t>364,521</w:t>
            </w:r>
          </w:p>
        </w:tc>
        <w:tc>
          <w:tcPr>
            <w:tcW w:w="2268" w:type="dxa"/>
            <w:vAlign w:val="center"/>
          </w:tcPr>
          <w:p w14:paraId="2E3B3ABF" w14:textId="625C86AD" w:rsidR="000D3966" w:rsidRPr="000D3966" w:rsidRDefault="000D3966" w:rsidP="00B81306">
            <w:pPr>
              <w:pStyle w:val="TableParagraph"/>
              <w:spacing w:before="46"/>
              <w:ind w:right="575"/>
              <w:jc w:val="right"/>
              <w:rPr>
                <w:rFonts w:asciiTheme="minorHAnsi" w:hAnsiTheme="minorHAnsi" w:cstheme="minorHAnsi"/>
                <w:sz w:val="24"/>
              </w:rPr>
            </w:pPr>
            <w:r>
              <w:rPr>
                <w:rFonts w:asciiTheme="minorHAnsi" w:hAnsiTheme="minorHAnsi" w:cstheme="minorHAnsi"/>
                <w:sz w:val="24"/>
              </w:rPr>
              <w:t>647,659</w:t>
            </w:r>
          </w:p>
        </w:tc>
      </w:tr>
      <w:tr w:rsidR="000D3966" w:rsidRPr="00B2121F" w14:paraId="620277AE" w14:textId="77777777" w:rsidTr="6D72FE1E">
        <w:trPr>
          <w:trHeight w:val="454"/>
        </w:trPr>
        <w:tc>
          <w:tcPr>
            <w:tcW w:w="4673" w:type="dxa"/>
            <w:vAlign w:val="center"/>
          </w:tcPr>
          <w:p w14:paraId="6D6C21DE" w14:textId="39389FC7" w:rsidR="000D3966" w:rsidRPr="000D3966" w:rsidRDefault="000D3966" w:rsidP="00DF601D">
            <w:pPr>
              <w:pStyle w:val="TableParagraph"/>
              <w:spacing w:before="43"/>
              <w:ind w:left="669" w:right="566"/>
              <w:rPr>
                <w:rFonts w:asciiTheme="minorHAnsi" w:hAnsiTheme="minorHAnsi" w:cstheme="minorHAnsi"/>
                <w:sz w:val="24"/>
              </w:rPr>
            </w:pPr>
            <w:r w:rsidRPr="000D3966">
              <w:rPr>
                <w:rFonts w:asciiTheme="minorHAnsi" w:hAnsiTheme="minorHAnsi" w:cs="AcuminVariableConcept"/>
                <w:color w:val="2C2D35"/>
                <w:sz w:val="24"/>
                <w:szCs w:val="24"/>
              </w:rPr>
              <w:t>Cash Assets</w:t>
            </w:r>
          </w:p>
        </w:tc>
        <w:tc>
          <w:tcPr>
            <w:tcW w:w="1134" w:type="dxa"/>
          </w:tcPr>
          <w:p w14:paraId="3D9C2869" w14:textId="1A8EE1E8" w:rsidR="000D3966" w:rsidRPr="000D3966" w:rsidRDefault="000D3966" w:rsidP="000D3966">
            <w:pPr>
              <w:pStyle w:val="TableParagraph"/>
              <w:spacing w:before="44"/>
              <w:ind w:right="378"/>
              <w:jc w:val="right"/>
              <w:rPr>
                <w:rFonts w:asciiTheme="minorHAnsi" w:hAnsiTheme="minorHAnsi" w:cstheme="minorHAnsi"/>
                <w:w w:val="105"/>
                <w:sz w:val="24"/>
              </w:rPr>
            </w:pPr>
            <w:r>
              <w:rPr>
                <w:rFonts w:asciiTheme="minorHAnsi" w:hAnsiTheme="minorHAnsi" w:cstheme="minorHAnsi"/>
                <w:w w:val="105"/>
                <w:sz w:val="24"/>
              </w:rPr>
              <w:t>3</w:t>
            </w:r>
          </w:p>
        </w:tc>
        <w:tc>
          <w:tcPr>
            <w:tcW w:w="2268" w:type="dxa"/>
            <w:vAlign w:val="center"/>
          </w:tcPr>
          <w:p w14:paraId="685C4585" w14:textId="45D37300" w:rsidR="000D3966" w:rsidRPr="000D3966" w:rsidRDefault="000D3966" w:rsidP="00B81306">
            <w:pPr>
              <w:pStyle w:val="TableParagraph"/>
              <w:spacing w:before="44"/>
              <w:ind w:right="378"/>
              <w:jc w:val="right"/>
              <w:rPr>
                <w:rFonts w:asciiTheme="minorHAnsi" w:hAnsiTheme="minorHAnsi" w:cstheme="minorHAnsi"/>
                <w:sz w:val="24"/>
              </w:rPr>
            </w:pPr>
            <w:r w:rsidRPr="000D3966">
              <w:rPr>
                <w:rFonts w:asciiTheme="minorHAnsi" w:hAnsiTheme="minorHAnsi" w:cstheme="minorHAnsi"/>
                <w:sz w:val="24"/>
              </w:rPr>
              <w:t>262,926</w:t>
            </w:r>
          </w:p>
        </w:tc>
        <w:tc>
          <w:tcPr>
            <w:tcW w:w="2268" w:type="dxa"/>
            <w:vAlign w:val="center"/>
          </w:tcPr>
          <w:p w14:paraId="36E3F388" w14:textId="301EB7CA" w:rsidR="000D3966" w:rsidRPr="000D3966" w:rsidRDefault="000D3966" w:rsidP="00B81306">
            <w:pPr>
              <w:pStyle w:val="TableParagraph"/>
              <w:spacing w:before="45"/>
              <w:ind w:right="570"/>
              <w:jc w:val="right"/>
              <w:rPr>
                <w:rFonts w:asciiTheme="minorHAnsi" w:hAnsiTheme="minorHAnsi" w:cstheme="minorHAnsi"/>
                <w:sz w:val="24"/>
              </w:rPr>
            </w:pPr>
            <w:r w:rsidRPr="000D3966">
              <w:rPr>
                <w:rFonts w:asciiTheme="minorHAnsi" w:hAnsiTheme="minorHAnsi" w:cstheme="minorHAnsi"/>
                <w:sz w:val="24"/>
              </w:rPr>
              <w:t>71,173</w:t>
            </w:r>
          </w:p>
        </w:tc>
      </w:tr>
      <w:tr w:rsidR="000D3966" w:rsidRPr="00B2121F" w14:paraId="4F915E1A" w14:textId="77777777" w:rsidTr="6D72FE1E">
        <w:trPr>
          <w:trHeight w:val="454"/>
        </w:trPr>
        <w:tc>
          <w:tcPr>
            <w:tcW w:w="4673" w:type="dxa"/>
            <w:vAlign w:val="center"/>
          </w:tcPr>
          <w:p w14:paraId="13B62ECC" w14:textId="751B17EE" w:rsidR="000D3966" w:rsidRPr="000D3966" w:rsidRDefault="000D3966" w:rsidP="00DF601D">
            <w:pPr>
              <w:pStyle w:val="TableParagraph"/>
              <w:spacing w:before="43"/>
              <w:ind w:left="669" w:right="566"/>
              <w:rPr>
                <w:rFonts w:asciiTheme="minorHAnsi" w:hAnsiTheme="minorHAnsi" w:cstheme="minorHAnsi"/>
                <w:sz w:val="24"/>
              </w:rPr>
            </w:pPr>
            <w:r w:rsidRPr="000D3966">
              <w:rPr>
                <w:rFonts w:asciiTheme="minorHAnsi" w:hAnsiTheme="minorHAnsi" w:cs="AcuminVariableConcept"/>
                <w:color w:val="2C2D35"/>
                <w:sz w:val="24"/>
                <w:szCs w:val="24"/>
              </w:rPr>
              <w:t>Receivables</w:t>
            </w:r>
          </w:p>
        </w:tc>
        <w:tc>
          <w:tcPr>
            <w:tcW w:w="1134" w:type="dxa"/>
          </w:tcPr>
          <w:p w14:paraId="34127B81" w14:textId="767D4324" w:rsidR="000D3966" w:rsidRPr="000D3966" w:rsidRDefault="000D3966" w:rsidP="000D3966">
            <w:pPr>
              <w:pStyle w:val="TableParagraph"/>
              <w:spacing w:before="44"/>
              <w:ind w:right="383"/>
              <w:jc w:val="right"/>
              <w:rPr>
                <w:rFonts w:asciiTheme="minorHAnsi" w:hAnsiTheme="minorHAnsi" w:cstheme="minorHAnsi"/>
                <w:w w:val="105"/>
                <w:sz w:val="24"/>
              </w:rPr>
            </w:pPr>
            <w:r>
              <w:rPr>
                <w:rFonts w:asciiTheme="minorHAnsi" w:hAnsiTheme="minorHAnsi" w:cstheme="minorHAnsi"/>
                <w:w w:val="105"/>
                <w:sz w:val="24"/>
              </w:rPr>
              <w:t>5</w:t>
            </w:r>
          </w:p>
        </w:tc>
        <w:tc>
          <w:tcPr>
            <w:tcW w:w="2268" w:type="dxa"/>
            <w:vAlign w:val="center"/>
          </w:tcPr>
          <w:p w14:paraId="4F2E00C1" w14:textId="2FDC9D89" w:rsidR="000D3966" w:rsidRPr="000D3966" w:rsidRDefault="000D3966" w:rsidP="00B81306">
            <w:pPr>
              <w:pStyle w:val="TableParagraph"/>
              <w:spacing w:before="44"/>
              <w:ind w:right="383"/>
              <w:jc w:val="right"/>
              <w:rPr>
                <w:rFonts w:asciiTheme="minorHAnsi" w:hAnsiTheme="minorHAnsi" w:cstheme="minorHAnsi"/>
                <w:sz w:val="24"/>
              </w:rPr>
            </w:pPr>
            <w:r w:rsidRPr="000D3966">
              <w:rPr>
                <w:rFonts w:asciiTheme="minorHAnsi" w:hAnsiTheme="minorHAnsi" w:cstheme="minorHAnsi"/>
                <w:sz w:val="24"/>
              </w:rPr>
              <w:t>38,022</w:t>
            </w:r>
          </w:p>
        </w:tc>
        <w:tc>
          <w:tcPr>
            <w:tcW w:w="2268" w:type="dxa"/>
            <w:vAlign w:val="center"/>
          </w:tcPr>
          <w:p w14:paraId="32DFD23E" w14:textId="5FA2FCC9" w:rsidR="000D3966" w:rsidRPr="000D3966" w:rsidRDefault="000D3966" w:rsidP="00B81306">
            <w:pPr>
              <w:pStyle w:val="TableParagraph"/>
              <w:spacing w:before="45"/>
              <w:ind w:right="570"/>
              <w:jc w:val="right"/>
              <w:rPr>
                <w:rFonts w:asciiTheme="minorHAnsi" w:hAnsiTheme="minorHAnsi" w:cstheme="minorHAnsi"/>
                <w:sz w:val="24"/>
              </w:rPr>
            </w:pPr>
            <w:r w:rsidRPr="000D3966">
              <w:rPr>
                <w:rFonts w:asciiTheme="minorHAnsi" w:hAnsiTheme="minorHAnsi" w:cstheme="minorHAnsi"/>
                <w:w w:val="105"/>
                <w:sz w:val="24"/>
              </w:rPr>
              <w:t>9,468</w:t>
            </w:r>
          </w:p>
        </w:tc>
      </w:tr>
      <w:tr w:rsidR="000D3966" w:rsidRPr="00B2121F" w14:paraId="2D40448E" w14:textId="77777777" w:rsidTr="6D72FE1E">
        <w:trPr>
          <w:trHeight w:val="454"/>
        </w:trPr>
        <w:tc>
          <w:tcPr>
            <w:tcW w:w="4673" w:type="dxa"/>
            <w:vAlign w:val="center"/>
          </w:tcPr>
          <w:p w14:paraId="16D3F386" w14:textId="1552D58D" w:rsidR="000D3966" w:rsidRPr="000D3966" w:rsidRDefault="000D3966" w:rsidP="00DF601D">
            <w:pPr>
              <w:pStyle w:val="TableParagraph"/>
              <w:spacing w:before="43"/>
              <w:ind w:left="669" w:right="566"/>
              <w:rPr>
                <w:rFonts w:asciiTheme="minorHAnsi" w:hAnsiTheme="minorHAnsi" w:cstheme="minorHAnsi"/>
                <w:sz w:val="24"/>
              </w:rPr>
            </w:pPr>
            <w:r w:rsidRPr="000D3966">
              <w:rPr>
                <w:rFonts w:asciiTheme="minorHAnsi" w:hAnsiTheme="minorHAnsi" w:cs="AcuminVariableConcept"/>
                <w:color w:val="2C2D35"/>
                <w:sz w:val="24"/>
                <w:szCs w:val="24"/>
              </w:rPr>
              <w:t>Prepayments</w:t>
            </w:r>
          </w:p>
        </w:tc>
        <w:tc>
          <w:tcPr>
            <w:tcW w:w="1134" w:type="dxa"/>
          </w:tcPr>
          <w:p w14:paraId="077445C9" w14:textId="77777777" w:rsidR="000D3966" w:rsidRPr="000D3966" w:rsidRDefault="000D3966" w:rsidP="000D3966">
            <w:pPr>
              <w:pStyle w:val="TableParagraph"/>
              <w:spacing w:before="44"/>
              <w:ind w:right="384"/>
              <w:jc w:val="right"/>
              <w:rPr>
                <w:rFonts w:asciiTheme="minorHAnsi" w:hAnsiTheme="minorHAnsi" w:cstheme="minorHAnsi"/>
                <w:w w:val="105"/>
                <w:sz w:val="24"/>
              </w:rPr>
            </w:pPr>
          </w:p>
        </w:tc>
        <w:tc>
          <w:tcPr>
            <w:tcW w:w="2268" w:type="dxa"/>
            <w:vAlign w:val="center"/>
          </w:tcPr>
          <w:p w14:paraId="5C321A9E" w14:textId="4418D370" w:rsidR="000D3966" w:rsidRPr="000D3966" w:rsidRDefault="000D3966" w:rsidP="00B81306">
            <w:pPr>
              <w:pStyle w:val="TableParagraph"/>
              <w:spacing w:before="44"/>
              <w:ind w:right="384"/>
              <w:jc w:val="right"/>
              <w:rPr>
                <w:rFonts w:asciiTheme="minorHAnsi" w:hAnsiTheme="minorHAnsi" w:cstheme="minorHAnsi"/>
                <w:sz w:val="24"/>
              </w:rPr>
            </w:pPr>
            <w:r w:rsidRPr="000D3966">
              <w:rPr>
                <w:rFonts w:asciiTheme="minorHAnsi" w:hAnsiTheme="minorHAnsi" w:cstheme="minorHAnsi"/>
                <w:w w:val="105"/>
                <w:sz w:val="24"/>
              </w:rPr>
              <w:t>41,958</w:t>
            </w:r>
          </w:p>
        </w:tc>
        <w:tc>
          <w:tcPr>
            <w:tcW w:w="2268" w:type="dxa"/>
            <w:vAlign w:val="center"/>
          </w:tcPr>
          <w:p w14:paraId="09340F6B" w14:textId="77777777" w:rsidR="000D3966" w:rsidRPr="000D3966" w:rsidRDefault="000D3966" w:rsidP="00B81306">
            <w:pPr>
              <w:pStyle w:val="TableParagraph"/>
              <w:spacing w:before="45"/>
              <w:ind w:right="570"/>
              <w:jc w:val="right"/>
              <w:rPr>
                <w:rFonts w:asciiTheme="minorHAnsi" w:hAnsiTheme="minorHAnsi" w:cstheme="minorHAnsi"/>
                <w:sz w:val="24"/>
              </w:rPr>
            </w:pPr>
            <w:r w:rsidRPr="000D3966">
              <w:rPr>
                <w:rFonts w:asciiTheme="minorHAnsi" w:hAnsiTheme="minorHAnsi" w:cstheme="minorHAnsi"/>
                <w:w w:val="105"/>
                <w:sz w:val="24"/>
              </w:rPr>
              <w:t>42,530</w:t>
            </w:r>
          </w:p>
        </w:tc>
      </w:tr>
      <w:tr w:rsidR="000D3966" w:rsidRPr="00B2121F" w14:paraId="7BACF1C1" w14:textId="77777777" w:rsidTr="6D72FE1E">
        <w:trPr>
          <w:trHeight w:val="454"/>
        </w:trPr>
        <w:tc>
          <w:tcPr>
            <w:tcW w:w="4673" w:type="dxa"/>
            <w:vAlign w:val="center"/>
          </w:tcPr>
          <w:p w14:paraId="632055AC" w14:textId="57D0603F" w:rsidR="000D3966" w:rsidRPr="007D1DDC" w:rsidRDefault="000D3966" w:rsidP="00DF601D">
            <w:pPr>
              <w:pStyle w:val="TableParagraph"/>
              <w:spacing w:before="43"/>
              <w:ind w:left="601" w:right="566"/>
              <w:rPr>
                <w:rFonts w:asciiTheme="minorHAnsi" w:hAnsiTheme="minorHAnsi" w:cstheme="minorHAnsi"/>
                <w:i/>
                <w:iCs/>
                <w:sz w:val="24"/>
              </w:rPr>
            </w:pPr>
            <w:r w:rsidRPr="007D1DDC">
              <w:rPr>
                <w:rFonts w:asciiTheme="minorHAnsi" w:hAnsiTheme="minorHAnsi" w:cs="AcuminVariableConcept"/>
                <w:i/>
                <w:iCs/>
                <w:color w:val="2C2D35"/>
                <w:sz w:val="24"/>
                <w:szCs w:val="24"/>
              </w:rPr>
              <w:t>Total Current Assets</w:t>
            </w:r>
          </w:p>
        </w:tc>
        <w:tc>
          <w:tcPr>
            <w:tcW w:w="1134" w:type="dxa"/>
          </w:tcPr>
          <w:p w14:paraId="7F634455" w14:textId="77777777" w:rsidR="000D3966" w:rsidRPr="000D3966" w:rsidRDefault="000D3966" w:rsidP="000D3966">
            <w:pPr>
              <w:pStyle w:val="TableParagraph"/>
              <w:spacing w:before="44"/>
              <w:ind w:right="383"/>
              <w:jc w:val="right"/>
              <w:rPr>
                <w:rFonts w:asciiTheme="minorHAnsi" w:hAnsiTheme="minorHAnsi" w:cstheme="minorHAnsi"/>
                <w:sz w:val="24"/>
              </w:rPr>
            </w:pPr>
          </w:p>
        </w:tc>
        <w:tc>
          <w:tcPr>
            <w:tcW w:w="2268" w:type="dxa"/>
            <w:vAlign w:val="center"/>
          </w:tcPr>
          <w:p w14:paraId="6A839614" w14:textId="28965439" w:rsidR="000D3966" w:rsidRPr="000D3966" w:rsidRDefault="000D3966" w:rsidP="00B81306">
            <w:pPr>
              <w:pStyle w:val="TableParagraph"/>
              <w:spacing w:before="44"/>
              <w:ind w:right="383"/>
              <w:jc w:val="right"/>
              <w:rPr>
                <w:rFonts w:asciiTheme="minorHAnsi" w:hAnsiTheme="minorHAnsi" w:cstheme="minorHAnsi"/>
                <w:b/>
                <w:bCs/>
                <w:sz w:val="24"/>
              </w:rPr>
            </w:pPr>
            <w:r w:rsidRPr="000D3966">
              <w:rPr>
                <w:rFonts w:asciiTheme="minorHAnsi" w:hAnsiTheme="minorHAnsi" w:cstheme="minorHAnsi"/>
                <w:b/>
                <w:bCs/>
                <w:sz w:val="24"/>
              </w:rPr>
              <w:t>665,469</w:t>
            </w:r>
          </w:p>
        </w:tc>
        <w:tc>
          <w:tcPr>
            <w:tcW w:w="2268" w:type="dxa"/>
            <w:vAlign w:val="center"/>
          </w:tcPr>
          <w:p w14:paraId="55215B00" w14:textId="559EAB28" w:rsidR="000D3966" w:rsidRPr="000D3966" w:rsidRDefault="000D3966" w:rsidP="00B81306">
            <w:pPr>
              <w:pStyle w:val="TableParagraph"/>
              <w:spacing w:before="45"/>
              <w:ind w:right="575"/>
              <w:jc w:val="right"/>
              <w:rPr>
                <w:rFonts w:asciiTheme="minorHAnsi" w:hAnsiTheme="minorHAnsi" w:cstheme="minorHAnsi"/>
                <w:b/>
                <w:bCs/>
                <w:sz w:val="24"/>
              </w:rPr>
            </w:pPr>
            <w:r w:rsidRPr="000D3966">
              <w:rPr>
                <w:rFonts w:asciiTheme="minorHAnsi" w:hAnsiTheme="minorHAnsi" w:cstheme="minorHAnsi"/>
                <w:b/>
                <w:bCs/>
                <w:sz w:val="24"/>
              </w:rPr>
              <w:t>728,300</w:t>
            </w:r>
          </w:p>
        </w:tc>
      </w:tr>
      <w:tr w:rsidR="000D3966" w:rsidRPr="00B2121F" w14:paraId="5B976E06" w14:textId="77777777" w:rsidTr="6D72FE1E">
        <w:trPr>
          <w:trHeight w:val="454"/>
        </w:trPr>
        <w:tc>
          <w:tcPr>
            <w:tcW w:w="4673" w:type="dxa"/>
            <w:vAlign w:val="center"/>
          </w:tcPr>
          <w:p w14:paraId="34C36263" w14:textId="7CBE9039" w:rsidR="000D3966" w:rsidRPr="000D3966" w:rsidRDefault="000D3966" w:rsidP="00DF601D">
            <w:pPr>
              <w:pStyle w:val="TableParagraph"/>
              <w:spacing w:before="43"/>
              <w:ind w:left="669" w:right="566"/>
              <w:rPr>
                <w:rFonts w:asciiTheme="minorHAnsi" w:hAnsiTheme="minorHAnsi" w:cstheme="minorHAnsi"/>
                <w:sz w:val="24"/>
              </w:rPr>
            </w:pPr>
          </w:p>
        </w:tc>
        <w:tc>
          <w:tcPr>
            <w:tcW w:w="1134" w:type="dxa"/>
          </w:tcPr>
          <w:p w14:paraId="50CF969D" w14:textId="77777777" w:rsidR="000D3966" w:rsidRPr="000D3966" w:rsidRDefault="000D3966" w:rsidP="000D3966">
            <w:pPr>
              <w:pStyle w:val="TableParagraph"/>
              <w:spacing w:before="44"/>
              <w:ind w:right="378"/>
              <w:jc w:val="right"/>
              <w:rPr>
                <w:rFonts w:asciiTheme="minorHAnsi" w:hAnsiTheme="minorHAnsi" w:cstheme="minorHAnsi"/>
                <w:sz w:val="24"/>
              </w:rPr>
            </w:pPr>
          </w:p>
        </w:tc>
        <w:tc>
          <w:tcPr>
            <w:tcW w:w="2268" w:type="dxa"/>
            <w:vAlign w:val="center"/>
          </w:tcPr>
          <w:p w14:paraId="46A251BF" w14:textId="1E41791A" w:rsidR="000D3966" w:rsidRPr="000D3966" w:rsidRDefault="000D3966" w:rsidP="00B81306">
            <w:pPr>
              <w:pStyle w:val="TableParagraph"/>
              <w:spacing w:before="44"/>
              <w:ind w:right="378"/>
              <w:jc w:val="right"/>
              <w:rPr>
                <w:rFonts w:asciiTheme="minorHAnsi" w:hAnsiTheme="minorHAnsi" w:cstheme="minorHAnsi"/>
                <w:sz w:val="24"/>
              </w:rPr>
            </w:pPr>
          </w:p>
        </w:tc>
        <w:tc>
          <w:tcPr>
            <w:tcW w:w="2268" w:type="dxa"/>
            <w:vAlign w:val="center"/>
          </w:tcPr>
          <w:p w14:paraId="5C26E7CC" w14:textId="56B27BE3" w:rsidR="000D3966" w:rsidRPr="000D3966" w:rsidRDefault="000D3966" w:rsidP="00B81306">
            <w:pPr>
              <w:pStyle w:val="TableParagraph"/>
              <w:spacing w:before="45"/>
              <w:ind w:right="570"/>
              <w:jc w:val="right"/>
              <w:rPr>
                <w:rFonts w:asciiTheme="minorHAnsi" w:hAnsiTheme="minorHAnsi" w:cstheme="minorHAnsi"/>
                <w:sz w:val="24"/>
              </w:rPr>
            </w:pPr>
          </w:p>
        </w:tc>
      </w:tr>
      <w:tr w:rsidR="000D3966" w:rsidRPr="00B2121F" w14:paraId="74C713C0" w14:textId="77777777" w:rsidTr="6D72FE1E">
        <w:trPr>
          <w:trHeight w:val="454"/>
        </w:trPr>
        <w:tc>
          <w:tcPr>
            <w:tcW w:w="4673" w:type="dxa"/>
            <w:vAlign w:val="center"/>
          </w:tcPr>
          <w:p w14:paraId="33846728" w14:textId="77777777" w:rsidR="000D3966" w:rsidRPr="000D3966" w:rsidRDefault="000D3966" w:rsidP="00DF601D">
            <w:pPr>
              <w:pStyle w:val="TableParagraph"/>
              <w:spacing w:before="11"/>
              <w:ind w:right="566"/>
              <w:rPr>
                <w:rFonts w:asciiTheme="minorHAnsi" w:hAnsiTheme="minorHAnsi" w:cstheme="minorHAnsi"/>
                <w:sz w:val="31"/>
              </w:rPr>
            </w:pPr>
          </w:p>
          <w:p w14:paraId="7976258C" w14:textId="2BD7C302" w:rsidR="000D3966" w:rsidRPr="000D3966" w:rsidRDefault="000D3966" w:rsidP="00DF601D">
            <w:pPr>
              <w:pStyle w:val="TableParagraph"/>
              <w:ind w:left="385" w:right="566"/>
              <w:rPr>
                <w:rFonts w:asciiTheme="minorHAnsi" w:hAnsiTheme="minorHAnsi" w:cstheme="minorHAnsi"/>
                <w:b/>
                <w:bCs/>
                <w:sz w:val="24"/>
              </w:rPr>
            </w:pPr>
            <w:r w:rsidRPr="000D3966">
              <w:rPr>
                <w:rFonts w:asciiTheme="minorHAnsi" w:hAnsiTheme="minorHAnsi" w:cstheme="minorHAnsi"/>
                <w:b/>
                <w:bCs/>
                <w:sz w:val="24"/>
              </w:rPr>
              <w:t>Non-Current Assets</w:t>
            </w:r>
          </w:p>
        </w:tc>
        <w:tc>
          <w:tcPr>
            <w:tcW w:w="1134" w:type="dxa"/>
          </w:tcPr>
          <w:p w14:paraId="7B8E327C" w14:textId="77777777" w:rsidR="000D3966" w:rsidRPr="000D3966" w:rsidRDefault="000D3966" w:rsidP="000D3966">
            <w:pPr>
              <w:pStyle w:val="TableParagraph"/>
              <w:jc w:val="right"/>
              <w:rPr>
                <w:rFonts w:asciiTheme="minorHAnsi" w:hAnsiTheme="minorHAnsi" w:cstheme="minorHAnsi"/>
                <w:sz w:val="24"/>
              </w:rPr>
            </w:pPr>
          </w:p>
        </w:tc>
        <w:tc>
          <w:tcPr>
            <w:tcW w:w="2268" w:type="dxa"/>
            <w:vAlign w:val="center"/>
          </w:tcPr>
          <w:p w14:paraId="448B58A8" w14:textId="46D1D968" w:rsidR="000D3966" w:rsidRPr="000D3966" w:rsidRDefault="000D3966" w:rsidP="00B81306">
            <w:pPr>
              <w:pStyle w:val="TableParagraph"/>
              <w:jc w:val="right"/>
              <w:rPr>
                <w:rFonts w:asciiTheme="minorHAnsi" w:hAnsiTheme="minorHAnsi" w:cstheme="minorHAnsi"/>
                <w:sz w:val="24"/>
              </w:rPr>
            </w:pPr>
          </w:p>
        </w:tc>
        <w:tc>
          <w:tcPr>
            <w:tcW w:w="2268" w:type="dxa"/>
            <w:vAlign w:val="center"/>
          </w:tcPr>
          <w:p w14:paraId="30D4F4FB" w14:textId="77777777" w:rsidR="000D3966" w:rsidRPr="000D3966" w:rsidRDefault="000D3966" w:rsidP="00B81306">
            <w:pPr>
              <w:pStyle w:val="TableParagraph"/>
              <w:jc w:val="right"/>
              <w:rPr>
                <w:rFonts w:asciiTheme="minorHAnsi" w:hAnsiTheme="minorHAnsi" w:cstheme="minorHAnsi"/>
                <w:sz w:val="24"/>
              </w:rPr>
            </w:pPr>
          </w:p>
        </w:tc>
      </w:tr>
      <w:tr w:rsidR="000D3966" w:rsidRPr="00B2121F" w14:paraId="71D597B1" w14:textId="77777777" w:rsidTr="6D72FE1E">
        <w:trPr>
          <w:trHeight w:val="454"/>
        </w:trPr>
        <w:tc>
          <w:tcPr>
            <w:tcW w:w="4673" w:type="dxa"/>
            <w:vAlign w:val="center"/>
          </w:tcPr>
          <w:p w14:paraId="144DB366" w14:textId="028AE76D" w:rsidR="000D3966" w:rsidRPr="000D3966" w:rsidRDefault="000D3966" w:rsidP="00DF601D">
            <w:pPr>
              <w:pStyle w:val="TableParagraph"/>
              <w:spacing w:before="44"/>
              <w:ind w:left="669" w:right="566"/>
              <w:rPr>
                <w:rFonts w:asciiTheme="minorHAnsi" w:hAnsiTheme="minorHAnsi" w:cstheme="minorHAnsi"/>
                <w:sz w:val="24"/>
              </w:rPr>
            </w:pPr>
            <w:r w:rsidRPr="000D3966">
              <w:rPr>
                <w:rFonts w:asciiTheme="minorHAnsi" w:hAnsiTheme="minorHAnsi" w:cs="AcuminVariableConcept"/>
                <w:color w:val="2C2D35"/>
                <w:sz w:val="24"/>
                <w:szCs w:val="24"/>
              </w:rPr>
              <w:t>Property, plant and equipment</w:t>
            </w:r>
          </w:p>
        </w:tc>
        <w:tc>
          <w:tcPr>
            <w:tcW w:w="1134" w:type="dxa"/>
          </w:tcPr>
          <w:p w14:paraId="7042B72C" w14:textId="3E85AF51" w:rsidR="000D3966" w:rsidRPr="000D3966" w:rsidRDefault="000D3966" w:rsidP="000D3966">
            <w:pPr>
              <w:pStyle w:val="TableParagraph"/>
              <w:spacing w:before="45"/>
              <w:ind w:right="378"/>
              <w:jc w:val="right"/>
              <w:rPr>
                <w:rFonts w:asciiTheme="minorHAnsi" w:hAnsiTheme="minorHAnsi" w:cstheme="minorHAnsi"/>
                <w:w w:val="105"/>
                <w:sz w:val="24"/>
              </w:rPr>
            </w:pPr>
            <w:r>
              <w:rPr>
                <w:rFonts w:asciiTheme="minorHAnsi" w:hAnsiTheme="minorHAnsi" w:cstheme="minorHAnsi"/>
                <w:w w:val="105"/>
                <w:sz w:val="24"/>
              </w:rPr>
              <w:t>6</w:t>
            </w:r>
          </w:p>
        </w:tc>
        <w:tc>
          <w:tcPr>
            <w:tcW w:w="2268" w:type="dxa"/>
            <w:vAlign w:val="center"/>
          </w:tcPr>
          <w:p w14:paraId="03E81345" w14:textId="2C717D86" w:rsidR="000D3966" w:rsidRPr="000D3966" w:rsidRDefault="000D3966" w:rsidP="00B81306">
            <w:pPr>
              <w:pStyle w:val="TableParagraph"/>
              <w:spacing w:before="45"/>
              <w:ind w:right="378"/>
              <w:jc w:val="right"/>
              <w:rPr>
                <w:rFonts w:asciiTheme="minorHAnsi" w:hAnsiTheme="minorHAnsi" w:cstheme="minorHAnsi"/>
                <w:sz w:val="24"/>
              </w:rPr>
            </w:pPr>
            <w:r w:rsidRPr="000D3966">
              <w:rPr>
                <w:rFonts w:asciiTheme="minorHAnsi" w:hAnsiTheme="minorHAnsi" w:cstheme="minorHAnsi"/>
                <w:w w:val="105"/>
                <w:sz w:val="24"/>
              </w:rPr>
              <w:t>267,355</w:t>
            </w:r>
          </w:p>
        </w:tc>
        <w:tc>
          <w:tcPr>
            <w:tcW w:w="2268" w:type="dxa"/>
            <w:vAlign w:val="center"/>
          </w:tcPr>
          <w:p w14:paraId="7937EEEB" w14:textId="3A2A7BEC" w:rsidR="000D3966" w:rsidRPr="000D3966" w:rsidRDefault="000D3966" w:rsidP="00B81306">
            <w:pPr>
              <w:pStyle w:val="TableParagraph"/>
              <w:spacing w:before="46"/>
              <w:ind w:right="570"/>
              <w:jc w:val="right"/>
              <w:rPr>
                <w:rFonts w:asciiTheme="minorHAnsi" w:hAnsiTheme="minorHAnsi" w:cstheme="minorHAnsi"/>
                <w:sz w:val="24"/>
              </w:rPr>
            </w:pPr>
            <w:r w:rsidRPr="000D3966">
              <w:rPr>
                <w:rFonts w:asciiTheme="minorHAnsi" w:hAnsiTheme="minorHAnsi" w:cstheme="minorHAnsi"/>
                <w:w w:val="105"/>
                <w:sz w:val="24"/>
              </w:rPr>
              <w:t>122,134</w:t>
            </w:r>
          </w:p>
        </w:tc>
      </w:tr>
      <w:tr w:rsidR="000D3966" w:rsidRPr="00B2121F" w14:paraId="2E9A3B0F" w14:textId="77777777" w:rsidTr="6D72FE1E">
        <w:trPr>
          <w:trHeight w:val="454"/>
        </w:trPr>
        <w:tc>
          <w:tcPr>
            <w:tcW w:w="4673" w:type="dxa"/>
            <w:vAlign w:val="center"/>
          </w:tcPr>
          <w:p w14:paraId="2A2957EA" w14:textId="2F73AA0B" w:rsidR="000D3966" w:rsidRPr="000D3966" w:rsidRDefault="000D3966" w:rsidP="00DF601D">
            <w:pPr>
              <w:pStyle w:val="TableParagraph"/>
              <w:spacing w:before="43"/>
              <w:ind w:left="669" w:right="566"/>
              <w:rPr>
                <w:rFonts w:asciiTheme="minorHAnsi" w:hAnsiTheme="minorHAnsi" w:cstheme="minorHAnsi"/>
                <w:sz w:val="24"/>
              </w:rPr>
            </w:pPr>
            <w:r w:rsidRPr="000D3966">
              <w:rPr>
                <w:rFonts w:asciiTheme="minorHAnsi" w:hAnsiTheme="minorHAnsi" w:cs="AcuminVariableConcept"/>
                <w:color w:val="2C2D35"/>
                <w:sz w:val="24"/>
                <w:szCs w:val="24"/>
              </w:rPr>
              <w:t>AA Trust Investment Holding</w:t>
            </w:r>
          </w:p>
        </w:tc>
        <w:tc>
          <w:tcPr>
            <w:tcW w:w="1134" w:type="dxa"/>
          </w:tcPr>
          <w:p w14:paraId="446AB65C" w14:textId="77777777" w:rsidR="000D3966" w:rsidRPr="000D3966" w:rsidRDefault="000D3966" w:rsidP="000D3966">
            <w:pPr>
              <w:pStyle w:val="TableParagraph"/>
              <w:spacing w:before="44"/>
              <w:ind w:right="378"/>
              <w:jc w:val="right"/>
              <w:rPr>
                <w:rFonts w:asciiTheme="minorHAnsi" w:hAnsiTheme="minorHAnsi" w:cstheme="minorHAnsi"/>
                <w:w w:val="105"/>
                <w:sz w:val="24"/>
              </w:rPr>
            </w:pPr>
          </w:p>
        </w:tc>
        <w:tc>
          <w:tcPr>
            <w:tcW w:w="2268" w:type="dxa"/>
            <w:vAlign w:val="center"/>
          </w:tcPr>
          <w:p w14:paraId="0F1E742B" w14:textId="7989CE4F" w:rsidR="000D3966" w:rsidRPr="000D3966" w:rsidRDefault="000D3966" w:rsidP="00B81306">
            <w:pPr>
              <w:pStyle w:val="TableParagraph"/>
              <w:spacing w:before="44"/>
              <w:ind w:right="378"/>
              <w:jc w:val="right"/>
              <w:rPr>
                <w:rFonts w:asciiTheme="minorHAnsi" w:hAnsiTheme="minorHAnsi" w:cstheme="minorHAnsi"/>
                <w:sz w:val="24"/>
              </w:rPr>
            </w:pPr>
            <w:r w:rsidRPr="000D3966">
              <w:rPr>
                <w:rFonts w:asciiTheme="minorHAnsi" w:hAnsiTheme="minorHAnsi" w:cstheme="minorHAnsi"/>
                <w:w w:val="105"/>
                <w:sz w:val="24"/>
              </w:rPr>
              <w:t>980,790</w:t>
            </w:r>
          </w:p>
        </w:tc>
        <w:tc>
          <w:tcPr>
            <w:tcW w:w="2268" w:type="dxa"/>
            <w:vAlign w:val="center"/>
          </w:tcPr>
          <w:p w14:paraId="1E5B4607" w14:textId="74466BBE" w:rsidR="000D3966" w:rsidRPr="000D3966" w:rsidRDefault="000D3966" w:rsidP="00B81306">
            <w:pPr>
              <w:pStyle w:val="TableParagraph"/>
              <w:spacing w:before="45"/>
              <w:ind w:right="575"/>
              <w:jc w:val="right"/>
              <w:rPr>
                <w:rFonts w:asciiTheme="minorHAnsi" w:hAnsiTheme="minorHAnsi" w:cstheme="minorHAnsi"/>
                <w:sz w:val="24"/>
              </w:rPr>
            </w:pPr>
            <w:r w:rsidRPr="000D3966">
              <w:rPr>
                <w:rFonts w:asciiTheme="minorHAnsi" w:hAnsiTheme="minorHAnsi" w:cstheme="minorHAnsi"/>
                <w:sz w:val="24"/>
              </w:rPr>
              <w:t>787,753</w:t>
            </w:r>
          </w:p>
        </w:tc>
      </w:tr>
      <w:tr w:rsidR="000D3966" w:rsidRPr="00B2121F" w14:paraId="712D25DA" w14:textId="77777777" w:rsidTr="6D72FE1E">
        <w:trPr>
          <w:trHeight w:val="454"/>
        </w:trPr>
        <w:tc>
          <w:tcPr>
            <w:tcW w:w="4673" w:type="dxa"/>
            <w:vAlign w:val="center"/>
          </w:tcPr>
          <w:p w14:paraId="6DD870FC" w14:textId="0D280D28" w:rsidR="000D3966" w:rsidRPr="007D1DDC" w:rsidRDefault="000D3966" w:rsidP="00DF601D">
            <w:pPr>
              <w:pStyle w:val="TableParagraph"/>
              <w:spacing w:before="43"/>
              <w:ind w:left="669" w:right="566"/>
              <w:rPr>
                <w:rFonts w:asciiTheme="minorHAnsi" w:hAnsiTheme="minorHAnsi" w:cstheme="minorHAnsi"/>
                <w:i/>
                <w:iCs/>
                <w:sz w:val="24"/>
              </w:rPr>
            </w:pPr>
            <w:r w:rsidRPr="007D1DDC">
              <w:rPr>
                <w:rFonts w:asciiTheme="minorHAnsi" w:hAnsiTheme="minorHAnsi" w:cs="AcuminVariableConcept"/>
                <w:i/>
                <w:iCs/>
                <w:color w:val="2C2D35"/>
                <w:sz w:val="24"/>
                <w:szCs w:val="24"/>
              </w:rPr>
              <w:t>Total Non-Current Assets</w:t>
            </w:r>
          </w:p>
        </w:tc>
        <w:tc>
          <w:tcPr>
            <w:tcW w:w="1134" w:type="dxa"/>
          </w:tcPr>
          <w:p w14:paraId="32031A2D" w14:textId="77777777" w:rsidR="000D3966" w:rsidRPr="000D3966" w:rsidRDefault="000D3966" w:rsidP="000D3966">
            <w:pPr>
              <w:pStyle w:val="TableParagraph"/>
              <w:spacing w:before="44"/>
              <w:ind w:right="382"/>
              <w:jc w:val="right"/>
              <w:rPr>
                <w:rFonts w:asciiTheme="minorHAnsi" w:hAnsiTheme="minorHAnsi" w:cstheme="minorHAnsi"/>
                <w:w w:val="105"/>
                <w:sz w:val="24"/>
              </w:rPr>
            </w:pPr>
          </w:p>
        </w:tc>
        <w:tc>
          <w:tcPr>
            <w:tcW w:w="2268" w:type="dxa"/>
            <w:vAlign w:val="center"/>
          </w:tcPr>
          <w:p w14:paraId="237358C7" w14:textId="32758DE8" w:rsidR="000D3966" w:rsidRPr="000D3966" w:rsidRDefault="000D3966" w:rsidP="00B81306">
            <w:pPr>
              <w:pStyle w:val="TableParagraph"/>
              <w:spacing w:before="44"/>
              <w:ind w:right="382"/>
              <w:jc w:val="right"/>
              <w:rPr>
                <w:rFonts w:asciiTheme="minorHAnsi" w:hAnsiTheme="minorHAnsi" w:cstheme="minorHAnsi"/>
                <w:b/>
                <w:bCs/>
                <w:sz w:val="24"/>
              </w:rPr>
            </w:pPr>
            <w:r w:rsidRPr="000D3966">
              <w:rPr>
                <w:rFonts w:asciiTheme="minorHAnsi" w:hAnsiTheme="minorHAnsi" w:cstheme="minorHAnsi"/>
                <w:b/>
                <w:bCs/>
                <w:w w:val="105"/>
                <w:sz w:val="24"/>
              </w:rPr>
              <w:t>1,248,145</w:t>
            </w:r>
          </w:p>
        </w:tc>
        <w:tc>
          <w:tcPr>
            <w:tcW w:w="2268" w:type="dxa"/>
            <w:vAlign w:val="center"/>
          </w:tcPr>
          <w:p w14:paraId="1B218D0F" w14:textId="0C6FAAE8" w:rsidR="000D3966" w:rsidRPr="00DF601D" w:rsidRDefault="000D3966" w:rsidP="00B81306">
            <w:pPr>
              <w:pStyle w:val="TableParagraph"/>
              <w:spacing w:before="45"/>
              <w:ind w:right="570"/>
              <w:jc w:val="right"/>
              <w:rPr>
                <w:rFonts w:asciiTheme="minorHAnsi" w:hAnsiTheme="minorHAnsi" w:cstheme="minorHAnsi"/>
                <w:b/>
                <w:bCs/>
                <w:sz w:val="24"/>
              </w:rPr>
            </w:pPr>
            <w:r w:rsidRPr="00DF601D">
              <w:rPr>
                <w:rFonts w:asciiTheme="minorHAnsi" w:hAnsiTheme="minorHAnsi" w:cstheme="minorHAnsi"/>
                <w:b/>
                <w:bCs/>
                <w:w w:val="105"/>
                <w:sz w:val="24"/>
              </w:rPr>
              <w:t>909,887</w:t>
            </w:r>
          </w:p>
        </w:tc>
      </w:tr>
      <w:tr w:rsidR="000D3966" w:rsidRPr="00B2121F" w14:paraId="4B4CD7A1" w14:textId="77777777" w:rsidTr="6D72FE1E">
        <w:trPr>
          <w:trHeight w:val="454"/>
        </w:trPr>
        <w:tc>
          <w:tcPr>
            <w:tcW w:w="4673" w:type="dxa"/>
            <w:shd w:val="clear" w:color="auto" w:fill="D6EAF4"/>
            <w:vAlign w:val="center"/>
          </w:tcPr>
          <w:p w14:paraId="4AC939F8" w14:textId="4EDD729E" w:rsidR="000D3966" w:rsidRPr="000D3966" w:rsidRDefault="000D3966" w:rsidP="00DF601D">
            <w:pPr>
              <w:pStyle w:val="TableParagraph"/>
              <w:spacing w:before="35"/>
              <w:ind w:left="385" w:right="566"/>
              <w:rPr>
                <w:rFonts w:asciiTheme="minorHAnsi" w:hAnsiTheme="minorHAnsi" w:cstheme="minorHAnsi"/>
                <w:b/>
                <w:bCs/>
                <w:sz w:val="24"/>
              </w:rPr>
            </w:pPr>
            <w:r w:rsidRPr="000D3966">
              <w:rPr>
                <w:rFonts w:asciiTheme="minorHAnsi" w:hAnsiTheme="minorHAnsi" w:cstheme="minorHAnsi"/>
                <w:b/>
                <w:bCs/>
                <w:w w:val="115"/>
                <w:sz w:val="24"/>
              </w:rPr>
              <w:t>Total Assets</w:t>
            </w:r>
          </w:p>
        </w:tc>
        <w:tc>
          <w:tcPr>
            <w:tcW w:w="1134" w:type="dxa"/>
            <w:shd w:val="clear" w:color="auto" w:fill="D6EAF4"/>
          </w:tcPr>
          <w:p w14:paraId="4E218815" w14:textId="77777777" w:rsidR="000D3966" w:rsidRPr="000D3966" w:rsidRDefault="000D3966" w:rsidP="00B81306">
            <w:pPr>
              <w:pStyle w:val="TableParagraph"/>
              <w:spacing w:before="36"/>
              <w:ind w:right="391"/>
              <w:jc w:val="right"/>
              <w:rPr>
                <w:rFonts w:asciiTheme="minorHAnsi" w:hAnsiTheme="minorHAnsi" w:cstheme="minorHAnsi"/>
                <w:w w:val="110"/>
                <w:sz w:val="24"/>
              </w:rPr>
            </w:pPr>
          </w:p>
        </w:tc>
        <w:tc>
          <w:tcPr>
            <w:tcW w:w="2268" w:type="dxa"/>
            <w:shd w:val="clear" w:color="auto" w:fill="D6EAF4"/>
            <w:vAlign w:val="center"/>
          </w:tcPr>
          <w:p w14:paraId="24C1AF45" w14:textId="2F9CA0D7" w:rsidR="000D3966" w:rsidRPr="00DF601D" w:rsidRDefault="00DF601D" w:rsidP="00B81306">
            <w:pPr>
              <w:pStyle w:val="TableParagraph"/>
              <w:spacing w:before="36"/>
              <w:ind w:right="391"/>
              <w:jc w:val="right"/>
              <w:rPr>
                <w:rFonts w:asciiTheme="minorHAnsi" w:hAnsiTheme="minorHAnsi" w:cstheme="minorHAnsi"/>
                <w:b/>
                <w:bCs/>
                <w:sz w:val="24"/>
              </w:rPr>
            </w:pPr>
            <w:r w:rsidRPr="00DF601D">
              <w:rPr>
                <w:rFonts w:asciiTheme="minorHAnsi" w:hAnsiTheme="minorHAnsi" w:cs="AcuminVariableConcept"/>
                <w:b/>
                <w:bCs/>
                <w:color w:val="2C2D35"/>
                <w:sz w:val="24"/>
                <w:szCs w:val="24"/>
              </w:rPr>
              <w:t>1,913,614</w:t>
            </w:r>
          </w:p>
        </w:tc>
        <w:tc>
          <w:tcPr>
            <w:tcW w:w="2268" w:type="dxa"/>
            <w:shd w:val="clear" w:color="auto" w:fill="D6EAF4"/>
            <w:vAlign w:val="center"/>
          </w:tcPr>
          <w:p w14:paraId="356DAB2E" w14:textId="790AF364" w:rsidR="000D3966" w:rsidRPr="00DF601D" w:rsidRDefault="00DF601D" w:rsidP="00B81306">
            <w:pPr>
              <w:pStyle w:val="TableParagraph"/>
              <w:spacing w:before="37"/>
              <w:ind w:right="583"/>
              <w:jc w:val="right"/>
              <w:rPr>
                <w:rFonts w:asciiTheme="minorHAnsi" w:hAnsiTheme="minorHAnsi" w:cstheme="minorHAnsi"/>
                <w:b/>
                <w:bCs/>
                <w:sz w:val="24"/>
              </w:rPr>
            </w:pPr>
            <w:r w:rsidRPr="00DF601D">
              <w:rPr>
                <w:rFonts w:asciiTheme="minorHAnsi" w:hAnsiTheme="minorHAnsi" w:cs="AcuminVariableConcept"/>
                <w:b/>
                <w:bCs/>
                <w:color w:val="2C2D35"/>
                <w:sz w:val="24"/>
                <w:szCs w:val="24"/>
              </w:rPr>
              <w:t>1,638,187</w:t>
            </w:r>
          </w:p>
        </w:tc>
      </w:tr>
    </w:tbl>
    <w:p w14:paraId="3AAF9032" w14:textId="77777777" w:rsidR="000D3966" w:rsidRDefault="000D3966" w:rsidP="006352DC">
      <w:pPr>
        <w:pStyle w:val="body"/>
      </w:pPr>
    </w:p>
    <w:p w14:paraId="10A84AA0" w14:textId="77777777" w:rsidR="00F1638E" w:rsidRDefault="00F1638E">
      <w:pPr>
        <w:rPr>
          <w:rFonts w:cstheme="minorHAnsi"/>
          <w:color w:val="2C2D35"/>
          <w:spacing w:val="-2"/>
          <w:sz w:val="28"/>
          <w:szCs w:val="28"/>
          <w:lang w:val="en-GB"/>
        </w:rPr>
      </w:pPr>
      <w:r>
        <w:br w:type="page"/>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73"/>
        <w:gridCol w:w="1134"/>
        <w:gridCol w:w="2268"/>
        <w:gridCol w:w="2268"/>
      </w:tblGrid>
      <w:tr w:rsidR="00DF601D" w:rsidRPr="00B2121F" w14:paraId="385E478B" w14:textId="77777777" w:rsidTr="00B81306">
        <w:trPr>
          <w:trHeight w:val="454"/>
        </w:trPr>
        <w:tc>
          <w:tcPr>
            <w:tcW w:w="4673" w:type="dxa"/>
            <w:shd w:val="clear" w:color="auto" w:fill="D6EAF4"/>
            <w:vAlign w:val="center"/>
          </w:tcPr>
          <w:p w14:paraId="4F9B95C1" w14:textId="77777777" w:rsidR="00DF601D" w:rsidRPr="00B2121F" w:rsidRDefault="00DF601D" w:rsidP="00B81306">
            <w:pPr>
              <w:pStyle w:val="TableParagraph"/>
              <w:ind w:right="566"/>
              <w:rPr>
                <w:rFonts w:asciiTheme="minorHAnsi" w:hAnsiTheme="minorHAnsi" w:cstheme="minorHAnsi"/>
                <w:sz w:val="24"/>
              </w:rPr>
            </w:pPr>
          </w:p>
        </w:tc>
        <w:tc>
          <w:tcPr>
            <w:tcW w:w="1134" w:type="dxa"/>
            <w:shd w:val="clear" w:color="auto" w:fill="D6EAF4"/>
          </w:tcPr>
          <w:p w14:paraId="1ECCE250" w14:textId="50F6DA65" w:rsidR="00DF601D" w:rsidRPr="00B2121F" w:rsidRDefault="00E458B3" w:rsidP="00B81306">
            <w:pPr>
              <w:pStyle w:val="TableParagraph"/>
              <w:spacing w:before="181"/>
              <w:ind w:left="1453"/>
              <w:rPr>
                <w:rFonts w:asciiTheme="minorHAnsi" w:hAnsiTheme="minorHAnsi" w:cstheme="minorHAnsi"/>
                <w:w w:val="105"/>
                <w:sz w:val="24"/>
              </w:rPr>
            </w:pPr>
            <w:r>
              <w:rPr>
                <w:rFonts w:asciiTheme="minorHAnsi" w:hAnsiTheme="minorHAnsi" w:cstheme="minorHAnsi"/>
                <w:noProof/>
                <w:sz w:val="24"/>
              </w:rPr>
              <mc:AlternateContent>
                <mc:Choice Requires="wps">
                  <w:drawing>
                    <wp:anchor distT="0" distB="0" distL="114300" distR="114300" simplePos="0" relativeHeight="251661312" behindDoc="0" locked="0" layoutInCell="1" allowOverlap="1" wp14:anchorId="59CBFC7C" wp14:editId="24FC4F3C">
                      <wp:simplePos x="0" y="0"/>
                      <wp:positionH relativeFrom="column">
                        <wp:posOffset>106045</wp:posOffset>
                      </wp:positionH>
                      <wp:positionV relativeFrom="paragraph">
                        <wp:posOffset>135890</wp:posOffset>
                      </wp:positionV>
                      <wp:extent cx="527050" cy="254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27050" cy="254000"/>
                              </a:xfrm>
                              <a:prstGeom prst="rect">
                                <a:avLst/>
                              </a:prstGeom>
                              <a:noFill/>
                              <a:ln w="6350">
                                <a:noFill/>
                              </a:ln>
                            </wps:spPr>
                            <wps:txbx>
                              <w:txbxContent>
                                <w:p w14:paraId="0D2CA126" w14:textId="77777777" w:rsidR="00E458B3" w:rsidRPr="00E458B3" w:rsidRDefault="00E458B3" w:rsidP="00E458B3">
                                  <w:pPr>
                                    <w:rPr>
                                      <w:lang w:val="en-US"/>
                                    </w:rPr>
                                  </w:pPr>
                                  <w:r>
                                    <w:rPr>
                                      <w:lang w:val="en-US"/>
                                    </w:rPr>
                                    <w:t>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CBFC7C" id="Text Box 2" o:spid="_x0000_s1027" type="#_x0000_t202" style="position:absolute;left:0;text-align:left;margin-left:8.35pt;margin-top:10.7pt;width:41.5pt;height:2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cLQIAAFcEAAAOAAAAZHJzL2Uyb0RvYy54bWysVN9v2jAQfp+0/8Hy+0jIoN0iQsVaMU1C&#10;bSWY+mwcm0SyfZ5tSNhfv7MDlHV7mvbinO/O9+P77jK767UiB+F8C6ai41FOiTAc6tbsKvp9s/zw&#10;iRIfmKmZAiMqehSe3s3fv5t1thQFNKBq4QgGMb7sbEWbEGyZZZ43QjM/AisMGiU4zQJe3S6rHesw&#10;ulZZkec3WQeutg648B61D4ORzlN8KQUPT1J6EYiqKNYW0unSuY1nNp+xcueYbVp+KoP9QxWatQaT&#10;XkI9sMDI3rV/hNItd+BBhhEHnYGULRepB+xmnL/pZt0wK1IvCI63F5j8/wvLHw/PjrR1RQtKDNNI&#10;0Ub0gXyBnhQRnc76Ep3WFt1Cj2pk+az3qIxN99Lp+MV2CNoR5+MF2xiMo3Ja3OZTtHA0FdNJnifs&#10;s9fH1vnwVYAmUaioQ+oSouyw8gELQdezS8xlYNkqlehThnQVvfmI4X+z4Atl8GFsYSg1SqHf9qnh&#10;SxtbqI/YnYNhOrzlyxZrWDEfnpnDccCyccTDEx5SAeaCk0RJA+7n3/TRH1lCKyUdjldF/Y89c4IS&#10;9c0gf5/Hk0mcx3SZTG8LvLhry/baYvb6HnCCx7hMlicx+gd1FqUD/YKbsIhZ0cQMx9wVDWfxPgxD&#10;j5vExWKRnHACLQsrs7Y8ho7YRYQ3/Qtz9kRDQP4e4TyIrHzDxuA7oL7YB5BtoiriPKB6gh+nNzF4&#10;2rS4Htf35PX6P5j/AgAA//8DAFBLAwQUAAYACAAAACEAwUoP2twAAAAHAQAADwAAAGRycy9kb3du&#10;cmV2LnhtbEyOwU7DMBBE70j8g7VI3KjTCEIb4lRVpAoJwaGlF25OvE0i7HWI3Tbw9Syncnya0cwr&#10;VpOz4oRj6D0pmM8SEEiNNz21Cvbvm7sFiBA1GW09oYJvDLAqr68KnRt/pi2edrEVPEIh1wq6GIdc&#10;ytB06HSY+QGJs4MfnY6MYyvNqM887qxMkySTTvfED50esOqw+dwdnYKXavOmt3XqFj+2en49rIev&#10;/ceDUrc30/oJRMQpXsrwp8/qULJT7Y9kgrDM2SM3FaTzexCcL5fMtYKMWZaF/O9f/gIAAP//AwBQ&#10;SwECLQAUAAYACAAAACEAtoM4kv4AAADhAQAAEwAAAAAAAAAAAAAAAAAAAAAAW0NvbnRlbnRfVHlw&#10;ZXNdLnhtbFBLAQItABQABgAIAAAAIQA4/SH/1gAAAJQBAAALAAAAAAAAAAAAAAAAAC8BAABfcmVs&#10;cy8ucmVsc1BLAQItABQABgAIAAAAIQBSCL/cLQIAAFcEAAAOAAAAAAAAAAAAAAAAAC4CAABkcnMv&#10;ZTJvRG9jLnhtbFBLAQItABQABgAIAAAAIQDBSg/a3AAAAAcBAAAPAAAAAAAAAAAAAAAAAIcEAABk&#10;cnMvZG93bnJldi54bWxQSwUGAAAAAAQABADzAAAAkAUAAAAA&#10;" filled="f" stroked="f" strokeweight=".5pt">
                      <v:textbox>
                        <w:txbxContent>
                          <w:p w14:paraId="0D2CA126" w14:textId="77777777" w:rsidR="00E458B3" w:rsidRPr="00E458B3" w:rsidRDefault="00E458B3" w:rsidP="00E458B3">
                            <w:pPr>
                              <w:rPr>
                                <w:lang w:val="en-US"/>
                              </w:rPr>
                            </w:pPr>
                            <w:r>
                              <w:rPr>
                                <w:lang w:val="en-US"/>
                              </w:rPr>
                              <w:t>Note</w:t>
                            </w:r>
                          </w:p>
                        </w:txbxContent>
                      </v:textbox>
                    </v:shape>
                  </w:pict>
                </mc:Fallback>
              </mc:AlternateContent>
            </w:r>
            <w:r w:rsidR="00DF601D">
              <w:rPr>
                <w:rFonts w:asciiTheme="minorHAnsi" w:hAnsiTheme="minorHAnsi" w:cstheme="minorHAnsi"/>
                <w:w w:val="105"/>
                <w:sz w:val="24"/>
              </w:rPr>
              <w:t>v</w:t>
            </w:r>
          </w:p>
        </w:tc>
        <w:tc>
          <w:tcPr>
            <w:tcW w:w="2268" w:type="dxa"/>
            <w:shd w:val="clear" w:color="auto" w:fill="D6EAF4"/>
          </w:tcPr>
          <w:p w14:paraId="3512C6B8" w14:textId="0B9FBA00" w:rsidR="00DF601D" w:rsidRPr="00B2121F" w:rsidRDefault="007D1DDC" w:rsidP="007D1DDC">
            <w:pPr>
              <w:pStyle w:val="TableParagraph"/>
              <w:spacing w:before="181"/>
              <w:ind w:left="1122" w:hanging="417"/>
              <w:jc w:val="right"/>
              <w:rPr>
                <w:rFonts w:asciiTheme="minorHAnsi" w:hAnsiTheme="minorHAnsi" w:cstheme="minorHAnsi"/>
                <w:sz w:val="24"/>
              </w:rPr>
            </w:pPr>
            <w:r w:rsidRPr="007D1DDC">
              <w:rPr>
                <w:rFonts w:asciiTheme="minorHAnsi" w:hAnsiTheme="minorHAnsi" w:cs="AcuminVariableConcept"/>
                <w:color w:val="2C2D35"/>
                <w:sz w:val="24"/>
                <w:szCs w:val="24"/>
              </w:rPr>
              <w:t>As at</w:t>
            </w:r>
            <w:r>
              <w:rPr>
                <w:rFonts w:ascii="AcuminVariableConcept" w:hAnsi="AcuminVariableConcept" w:cs="AcuminVariableConcept"/>
                <w:color w:val="2C2D35"/>
                <w:sz w:val="24"/>
                <w:szCs w:val="24"/>
              </w:rPr>
              <w:t xml:space="preserve"> </w:t>
            </w:r>
            <w:r w:rsidR="00DF601D" w:rsidRPr="00B2121F">
              <w:rPr>
                <w:rFonts w:asciiTheme="minorHAnsi" w:hAnsiTheme="minorHAnsi" w:cstheme="minorHAnsi"/>
                <w:w w:val="105"/>
                <w:sz w:val="24"/>
              </w:rPr>
              <w:t>DEC</w:t>
            </w:r>
            <w:r w:rsidR="00DF601D">
              <w:rPr>
                <w:rFonts w:asciiTheme="minorHAnsi" w:hAnsiTheme="minorHAnsi" w:cstheme="minorHAnsi"/>
                <w:w w:val="105"/>
                <w:sz w:val="24"/>
              </w:rPr>
              <w:t xml:space="preserve"> </w:t>
            </w:r>
            <w:r w:rsidR="00DF601D" w:rsidRPr="00B2121F">
              <w:rPr>
                <w:rFonts w:asciiTheme="minorHAnsi" w:hAnsiTheme="minorHAnsi" w:cstheme="minorHAnsi"/>
                <w:w w:val="105"/>
                <w:sz w:val="24"/>
              </w:rPr>
              <w:t>19</w:t>
            </w:r>
          </w:p>
          <w:p w14:paraId="2C5E4867" w14:textId="77777777" w:rsidR="00DF601D" w:rsidRPr="00B2121F" w:rsidRDefault="00DF601D" w:rsidP="00B81306">
            <w:pPr>
              <w:pStyle w:val="TableParagraph"/>
              <w:spacing w:before="89"/>
              <w:ind w:right="385"/>
              <w:jc w:val="right"/>
              <w:rPr>
                <w:rFonts w:asciiTheme="minorHAnsi" w:hAnsiTheme="minorHAnsi" w:cstheme="minorHAnsi"/>
                <w:sz w:val="24"/>
              </w:rPr>
            </w:pPr>
            <w:r w:rsidRPr="00B2121F">
              <w:rPr>
                <w:rFonts w:asciiTheme="minorHAnsi" w:hAnsiTheme="minorHAnsi" w:cstheme="minorHAnsi"/>
                <w:w w:val="104"/>
                <w:sz w:val="24"/>
              </w:rPr>
              <w:t>$</w:t>
            </w:r>
          </w:p>
        </w:tc>
        <w:tc>
          <w:tcPr>
            <w:tcW w:w="2268" w:type="dxa"/>
            <w:shd w:val="clear" w:color="auto" w:fill="D6EAF4"/>
            <w:vAlign w:val="center"/>
          </w:tcPr>
          <w:p w14:paraId="380C5CCD" w14:textId="44217F81" w:rsidR="00DF601D" w:rsidRPr="00B2121F" w:rsidRDefault="007D1DDC" w:rsidP="007D1DDC">
            <w:pPr>
              <w:pStyle w:val="TableParagraph"/>
              <w:spacing w:before="181"/>
              <w:ind w:left="597" w:right="547" w:hanging="171"/>
              <w:jc w:val="right"/>
              <w:rPr>
                <w:rFonts w:asciiTheme="minorHAnsi" w:hAnsiTheme="minorHAnsi" w:cstheme="minorHAnsi"/>
                <w:sz w:val="24"/>
              </w:rPr>
            </w:pPr>
            <w:r w:rsidRPr="007D1DDC">
              <w:rPr>
                <w:rFonts w:asciiTheme="minorHAnsi" w:hAnsiTheme="minorHAnsi" w:cs="AcuminVariableConcept"/>
                <w:color w:val="2C2D35"/>
                <w:sz w:val="24"/>
                <w:szCs w:val="24"/>
              </w:rPr>
              <w:t>As at</w:t>
            </w:r>
            <w:r>
              <w:rPr>
                <w:rFonts w:ascii="AcuminVariableConcept" w:hAnsi="AcuminVariableConcept" w:cs="AcuminVariableConcept"/>
                <w:color w:val="2C2D35"/>
                <w:sz w:val="24"/>
                <w:szCs w:val="24"/>
              </w:rPr>
              <w:t xml:space="preserve"> </w:t>
            </w:r>
            <w:r w:rsidR="00DF601D" w:rsidRPr="00B2121F">
              <w:rPr>
                <w:rFonts w:asciiTheme="minorHAnsi" w:hAnsiTheme="minorHAnsi" w:cstheme="minorHAnsi"/>
                <w:w w:val="105"/>
                <w:sz w:val="24"/>
              </w:rPr>
              <w:t>DEC 18</w:t>
            </w:r>
          </w:p>
          <w:p w14:paraId="4D5105F4" w14:textId="77777777" w:rsidR="00DF601D" w:rsidRPr="00B2121F" w:rsidRDefault="00DF601D" w:rsidP="00B81306">
            <w:pPr>
              <w:pStyle w:val="TableParagraph"/>
              <w:spacing w:before="89"/>
              <w:ind w:left="1283" w:right="547"/>
              <w:jc w:val="right"/>
              <w:rPr>
                <w:rFonts w:asciiTheme="minorHAnsi" w:hAnsiTheme="minorHAnsi" w:cstheme="minorHAnsi"/>
                <w:sz w:val="24"/>
              </w:rPr>
            </w:pPr>
            <w:r w:rsidRPr="00B2121F">
              <w:rPr>
                <w:rFonts w:asciiTheme="minorHAnsi" w:hAnsiTheme="minorHAnsi" w:cstheme="minorHAnsi"/>
                <w:w w:val="104"/>
                <w:sz w:val="24"/>
              </w:rPr>
              <w:t>$</w:t>
            </w:r>
          </w:p>
        </w:tc>
      </w:tr>
      <w:tr w:rsidR="00DF601D" w:rsidRPr="00B2121F" w14:paraId="104EA034" w14:textId="77777777" w:rsidTr="00B81306">
        <w:trPr>
          <w:trHeight w:val="454"/>
        </w:trPr>
        <w:tc>
          <w:tcPr>
            <w:tcW w:w="4673" w:type="dxa"/>
            <w:vAlign w:val="center"/>
          </w:tcPr>
          <w:p w14:paraId="13EB7A89" w14:textId="77777777" w:rsidR="00DF601D" w:rsidRPr="000D3966" w:rsidRDefault="00DF601D" w:rsidP="00B81306">
            <w:pPr>
              <w:pStyle w:val="TableParagraph"/>
              <w:spacing w:before="2"/>
              <w:ind w:right="566"/>
              <w:rPr>
                <w:rFonts w:asciiTheme="minorHAnsi" w:hAnsiTheme="minorHAnsi" w:cstheme="minorHAnsi"/>
                <w:sz w:val="29"/>
              </w:rPr>
            </w:pPr>
          </w:p>
          <w:p w14:paraId="4BC8A7D8" w14:textId="6F1AEEA8" w:rsidR="00DF601D" w:rsidRPr="000D3966" w:rsidRDefault="00DF601D" w:rsidP="00B81306">
            <w:pPr>
              <w:pStyle w:val="TableParagraph"/>
              <w:spacing w:before="1"/>
              <w:ind w:left="385" w:right="566"/>
              <w:rPr>
                <w:rFonts w:asciiTheme="minorHAnsi" w:hAnsiTheme="minorHAnsi" w:cstheme="minorHAnsi"/>
                <w:b/>
                <w:bCs/>
                <w:sz w:val="24"/>
              </w:rPr>
            </w:pPr>
            <w:proofErr w:type="spellStart"/>
            <w:r w:rsidRPr="00DF601D">
              <w:rPr>
                <w:rFonts w:asciiTheme="minorHAnsi" w:hAnsiTheme="minorHAnsi" w:cstheme="minorHAnsi"/>
                <w:b/>
                <w:bCs/>
                <w:w w:val="110"/>
                <w:sz w:val="24"/>
              </w:rPr>
              <w:t>Liabilities</w:t>
            </w:r>
            <w:r w:rsidRPr="000D3966">
              <w:rPr>
                <w:rFonts w:asciiTheme="minorHAnsi" w:hAnsiTheme="minorHAnsi" w:cstheme="minorHAnsi"/>
                <w:b/>
                <w:bCs/>
                <w:w w:val="110"/>
                <w:sz w:val="24"/>
              </w:rPr>
              <w:t>s</w:t>
            </w:r>
            <w:proofErr w:type="spellEnd"/>
          </w:p>
        </w:tc>
        <w:tc>
          <w:tcPr>
            <w:tcW w:w="1134" w:type="dxa"/>
          </w:tcPr>
          <w:p w14:paraId="6BDBEDA5" w14:textId="590286B6" w:rsidR="00DF601D" w:rsidRPr="000D3966" w:rsidRDefault="00DF601D" w:rsidP="00B81306">
            <w:pPr>
              <w:pStyle w:val="TableParagraph"/>
              <w:jc w:val="right"/>
              <w:rPr>
                <w:rFonts w:asciiTheme="minorHAnsi" w:hAnsiTheme="minorHAnsi" w:cstheme="minorHAnsi"/>
                <w:sz w:val="24"/>
              </w:rPr>
            </w:pPr>
          </w:p>
        </w:tc>
        <w:tc>
          <w:tcPr>
            <w:tcW w:w="2268" w:type="dxa"/>
            <w:vAlign w:val="center"/>
          </w:tcPr>
          <w:p w14:paraId="6F38CD86" w14:textId="77777777" w:rsidR="00DF601D" w:rsidRPr="000D3966" w:rsidRDefault="00DF601D" w:rsidP="00B81306">
            <w:pPr>
              <w:pStyle w:val="TableParagraph"/>
              <w:jc w:val="right"/>
              <w:rPr>
                <w:rFonts w:asciiTheme="minorHAnsi" w:hAnsiTheme="minorHAnsi" w:cstheme="minorHAnsi"/>
                <w:sz w:val="24"/>
              </w:rPr>
            </w:pPr>
          </w:p>
        </w:tc>
        <w:tc>
          <w:tcPr>
            <w:tcW w:w="2268" w:type="dxa"/>
            <w:vAlign w:val="center"/>
          </w:tcPr>
          <w:p w14:paraId="71316DCF" w14:textId="77777777" w:rsidR="00DF601D" w:rsidRPr="000D3966" w:rsidRDefault="00DF601D" w:rsidP="00B81306">
            <w:pPr>
              <w:pStyle w:val="TableParagraph"/>
              <w:jc w:val="right"/>
              <w:rPr>
                <w:rFonts w:asciiTheme="minorHAnsi" w:hAnsiTheme="minorHAnsi" w:cstheme="minorHAnsi"/>
                <w:sz w:val="24"/>
              </w:rPr>
            </w:pPr>
          </w:p>
        </w:tc>
      </w:tr>
      <w:tr w:rsidR="00DF601D" w:rsidRPr="00B2121F" w14:paraId="53B15B7C" w14:textId="77777777" w:rsidTr="00B81306">
        <w:trPr>
          <w:trHeight w:val="454"/>
        </w:trPr>
        <w:tc>
          <w:tcPr>
            <w:tcW w:w="4673" w:type="dxa"/>
            <w:vAlign w:val="center"/>
          </w:tcPr>
          <w:p w14:paraId="3364A410" w14:textId="70AB9BED" w:rsidR="00DF601D" w:rsidRPr="000D3966" w:rsidRDefault="00DF601D" w:rsidP="00B81306">
            <w:pPr>
              <w:pStyle w:val="TableParagraph"/>
              <w:spacing w:before="44"/>
              <w:ind w:left="669" w:right="566"/>
              <w:rPr>
                <w:rFonts w:asciiTheme="minorHAnsi" w:hAnsiTheme="minorHAnsi" w:cstheme="minorHAnsi"/>
                <w:b/>
                <w:bCs/>
                <w:sz w:val="24"/>
              </w:rPr>
            </w:pPr>
            <w:r w:rsidRPr="00DF601D">
              <w:rPr>
                <w:rFonts w:asciiTheme="minorHAnsi" w:hAnsiTheme="minorHAnsi" w:cs="AcuminVariableConcept"/>
                <w:b/>
                <w:bCs/>
                <w:color w:val="2C2D35"/>
                <w:sz w:val="24"/>
                <w:szCs w:val="24"/>
              </w:rPr>
              <w:t>Current Liabilities</w:t>
            </w:r>
          </w:p>
        </w:tc>
        <w:tc>
          <w:tcPr>
            <w:tcW w:w="1134" w:type="dxa"/>
          </w:tcPr>
          <w:p w14:paraId="36F6C3FE" w14:textId="38475A58" w:rsidR="00DF601D" w:rsidRPr="000D3966" w:rsidRDefault="00DF601D" w:rsidP="00B81306">
            <w:pPr>
              <w:pStyle w:val="TableParagraph"/>
              <w:spacing w:before="45"/>
              <w:ind w:right="378"/>
              <w:jc w:val="right"/>
              <w:rPr>
                <w:rFonts w:asciiTheme="minorHAnsi" w:hAnsiTheme="minorHAnsi" w:cstheme="minorHAnsi"/>
                <w:w w:val="105"/>
                <w:sz w:val="24"/>
              </w:rPr>
            </w:pPr>
          </w:p>
        </w:tc>
        <w:tc>
          <w:tcPr>
            <w:tcW w:w="2268" w:type="dxa"/>
            <w:vAlign w:val="center"/>
          </w:tcPr>
          <w:p w14:paraId="33C9BA5F" w14:textId="1884C35C" w:rsidR="00DF601D" w:rsidRPr="000D3966" w:rsidRDefault="00DF601D" w:rsidP="00B81306">
            <w:pPr>
              <w:pStyle w:val="TableParagraph"/>
              <w:spacing w:before="45"/>
              <w:ind w:right="378"/>
              <w:jc w:val="right"/>
              <w:rPr>
                <w:rFonts w:asciiTheme="minorHAnsi" w:hAnsiTheme="minorHAnsi" w:cstheme="minorHAnsi"/>
                <w:sz w:val="24"/>
              </w:rPr>
            </w:pPr>
          </w:p>
        </w:tc>
        <w:tc>
          <w:tcPr>
            <w:tcW w:w="2268" w:type="dxa"/>
            <w:vAlign w:val="center"/>
          </w:tcPr>
          <w:p w14:paraId="5CFF92D8" w14:textId="6A4FF55C" w:rsidR="00DF601D" w:rsidRPr="000D3966" w:rsidRDefault="00DF601D" w:rsidP="00B81306">
            <w:pPr>
              <w:pStyle w:val="TableParagraph"/>
              <w:spacing w:before="46"/>
              <w:ind w:right="575"/>
              <w:jc w:val="right"/>
              <w:rPr>
                <w:rFonts w:asciiTheme="minorHAnsi" w:hAnsiTheme="minorHAnsi" w:cstheme="minorHAnsi"/>
                <w:sz w:val="24"/>
              </w:rPr>
            </w:pPr>
          </w:p>
        </w:tc>
      </w:tr>
      <w:tr w:rsidR="007D1DDC" w:rsidRPr="00B2121F" w14:paraId="2C122CB5" w14:textId="77777777" w:rsidTr="00B81306">
        <w:trPr>
          <w:trHeight w:val="454"/>
        </w:trPr>
        <w:tc>
          <w:tcPr>
            <w:tcW w:w="4673" w:type="dxa"/>
            <w:vAlign w:val="center"/>
          </w:tcPr>
          <w:p w14:paraId="560F76EB" w14:textId="3D41647B" w:rsidR="007D1DDC" w:rsidRPr="000D3966" w:rsidRDefault="007D1DDC" w:rsidP="007D1DDC">
            <w:pPr>
              <w:pStyle w:val="TableParagraph"/>
              <w:spacing w:before="43"/>
              <w:ind w:left="669" w:right="566"/>
              <w:rPr>
                <w:rFonts w:asciiTheme="minorHAnsi" w:hAnsiTheme="minorHAnsi" w:cstheme="minorHAnsi"/>
                <w:sz w:val="24"/>
              </w:rPr>
            </w:pPr>
            <w:r w:rsidRPr="00DF601D">
              <w:rPr>
                <w:rFonts w:asciiTheme="minorHAnsi" w:hAnsiTheme="minorHAnsi" w:cs="AcuminVariableConcept"/>
                <w:color w:val="2C2D35"/>
                <w:sz w:val="24"/>
                <w:szCs w:val="24"/>
              </w:rPr>
              <w:t>Payables</w:t>
            </w:r>
          </w:p>
        </w:tc>
        <w:tc>
          <w:tcPr>
            <w:tcW w:w="1134" w:type="dxa"/>
          </w:tcPr>
          <w:p w14:paraId="2A51EB2A" w14:textId="6F069EF4" w:rsidR="007D1DDC" w:rsidRPr="000D3966" w:rsidRDefault="007D1DDC" w:rsidP="007D1DDC">
            <w:pPr>
              <w:pStyle w:val="TableParagraph"/>
              <w:spacing w:before="44"/>
              <w:ind w:right="378"/>
              <w:jc w:val="right"/>
              <w:rPr>
                <w:rFonts w:asciiTheme="minorHAnsi" w:hAnsiTheme="minorHAnsi" w:cstheme="minorHAnsi"/>
                <w:w w:val="105"/>
                <w:sz w:val="24"/>
              </w:rPr>
            </w:pPr>
            <w:r>
              <w:rPr>
                <w:rFonts w:asciiTheme="minorHAnsi" w:hAnsiTheme="minorHAnsi" w:cstheme="minorHAnsi"/>
                <w:w w:val="105"/>
                <w:sz w:val="24"/>
              </w:rPr>
              <w:t>8</w:t>
            </w:r>
          </w:p>
        </w:tc>
        <w:tc>
          <w:tcPr>
            <w:tcW w:w="2268" w:type="dxa"/>
            <w:vAlign w:val="center"/>
          </w:tcPr>
          <w:p w14:paraId="23B78346" w14:textId="6C0CE89B" w:rsidR="007D1DDC" w:rsidRPr="000D3966" w:rsidRDefault="007D1DDC" w:rsidP="007D1DDC">
            <w:pPr>
              <w:pStyle w:val="TableParagraph"/>
              <w:spacing w:before="44"/>
              <w:ind w:right="378"/>
              <w:jc w:val="right"/>
              <w:rPr>
                <w:rFonts w:asciiTheme="minorHAnsi" w:hAnsiTheme="minorHAnsi" w:cstheme="minorHAnsi"/>
                <w:sz w:val="24"/>
              </w:rPr>
            </w:pPr>
            <w:r>
              <w:rPr>
                <w:rFonts w:ascii="AcuminVariableConcept" w:hAnsi="AcuminVariableConcept" w:cs="AcuminVariableConcept"/>
                <w:color w:val="2C2D35"/>
                <w:sz w:val="24"/>
                <w:szCs w:val="24"/>
              </w:rPr>
              <w:t>139,039</w:t>
            </w:r>
          </w:p>
        </w:tc>
        <w:tc>
          <w:tcPr>
            <w:tcW w:w="2268" w:type="dxa"/>
            <w:vAlign w:val="center"/>
          </w:tcPr>
          <w:p w14:paraId="5233E62D" w14:textId="464466CA" w:rsidR="007D1DDC" w:rsidRPr="000D3966" w:rsidRDefault="007D1DDC" w:rsidP="007D1DDC">
            <w:pPr>
              <w:pStyle w:val="TableParagraph"/>
              <w:spacing w:before="45"/>
              <w:ind w:right="570"/>
              <w:jc w:val="right"/>
              <w:rPr>
                <w:rFonts w:asciiTheme="minorHAnsi" w:hAnsiTheme="minorHAnsi" w:cstheme="minorHAnsi"/>
                <w:sz w:val="24"/>
              </w:rPr>
            </w:pPr>
            <w:r>
              <w:rPr>
                <w:rFonts w:ascii="AcuminVariableConcept" w:hAnsi="AcuminVariableConcept" w:cs="AcuminVariableConcept"/>
                <w:color w:val="2C2D35"/>
                <w:sz w:val="24"/>
                <w:szCs w:val="24"/>
              </w:rPr>
              <w:t>64,596</w:t>
            </w:r>
          </w:p>
        </w:tc>
      </w:tr>
      <w:tr w:rsidR="007D1DDC" w:rsidRPr="00B2121F" w14:paraId="3D954C4E" w14:textId="77777777" w:rsidTr="00B81306">
        <w:trPr>
          <w:trHeight w:val="454"/>
        </w:trPr>
        <w:tc>
          <w:tcPr>
            <w:tcW w:w="4673" w:type="dxa"/>
            <w:vAlign w:val="center"/>
          </w:tcPr>
          <w:p w14:paraId="5049E5DB" w14:textId="621F3A72" w:rsidR="007D1DDC" w:rsidRPr="000D3966" w:rsidRDefault="007D1DDC" w:rsidP="007D1DDC">
            <w:pPr>
              <w:pStyle w:val="TableParagraph"/>
              <w:spacing w:before="43"/>
              <w:ind w:left="669" w:right="566"/>
              <w:rPr>
                <w:rFonts w:asciiTheme="minorHAnsi" w:hAnsiTheme="minorHAnsi" w:cstheme="minorHAnsi"/>
                <w:sz w:val="24"/>
              </w:rPr>
            </w:pPr>
            <w:r w:rsidRPr="00DF601D">
              <w:rPr>
                <w:rFonts w:asciiTheme="minorHAnsi" w:hAnsiTheme="minorHAnsi" w:cs="AcuminVariableConcept"/>
                <w:color w:val="2C2D35"/>
                <w:sz w:val="24"/>
                <w:szCs w:val="24"/>
              </w:rPr>
              <w:t>Employee Entitlements</w:t>
            </w:r>
          </w:p>
        </w:tc>
        <w:tc>
          <w:tcPr>
            <w:tcW w:w="1134" w:type="dxa"/>
          </w:tcPr>
          <w:p w14:paraId="3E03F50D" w14:textId="49281D30" w:rsidR="007D1DDC" w:rsidRPr="000D3966" w:rsidRDefault="007D1DDC" w:rsidP="007D1DDC">
            <w:pPr>
              <w:pStyle w:val="TableParagraph"/>
              <w:spacing w:before="44"/>
              <w:ind w:right="383"/>
              <w:jc w:val="right"/>
              <w:rPr>
                <w:rFonts w:asciiTheme="minorHAnsi" w:hAnsiTheme="minorHAnsi" w:cstheme="minorHAnsi"/>
                <w:w w:val="105"/>
                <w:sz w:val="24"/>
              </w:rPr>
            </w:pPr>
            <w:r>
              <w:rPr>
                <w:rFonts w:asciiTheme="minorHAnsi" w:hAnsiTheme="minorHAnsi" w:cstheme="minorHAnsi"/>
                <w:w w:val="105"/>
                <w:sz w:val="24"/>
              </w:rPr>
              <w:t>9</w:t>
            </w:r>
          </w:p>
        </w:tc>
        <w:tc>
          <w:tcPr>
            <w:tcW w:w="2268" w:type="dxa"/>
            <w:vAlign w:val="center"/>
          </w:tcPr>
          <w:p w14:paraId="38DCBC2E" w14:textId="22F4910F" w:rsidR="007D1DDC" w:rsidRPr="000D3966" w:rsidRDefault="007D1DDC" w:rsidP="007D1DDC">
            <w:pPr>
              <w:pStyle w:val="TableParagraph"/>
              <w:spacing w:before="44"/>
              <w:ind w:right="383"/>
              <w:jc w:val="right"/>
              <w:rPr>
                <w:rFonts w:asciiTheme="minorHAnsi" w:hAnsiTheme="minorHAnsi" w:cstheme="minorHAnsi"/>
                <w:sz w:val="24"/>
              </w:rPr>
            </w:pPr>
            <w:r>
              <w:rPr>
                <w:rFonts w:ascii="AcuminVariableConcept" w:hAnsi="AcuminVariableConcept" w:cs="AcuminVariableConcept"/>
                <w:color w:val="2C2D35"/>
                <w:sz w:val="24"/>
                <w:szCs w:val="24"/>
              </w:rPr>
              <w:t>119</w:t>
            </w:r>
          </w:p>
        </w:tc>
        <w:tc>
          <w:tcPr>
            <w:tcW w:w="2268" w:type="dxa"/>
            <w:vAlign w:val="center"/>
          </w:tcPr>
          <w:p w14:paraId="072BFCFE" w14:textId="1B6D9F07" w:rsidR="007D1DDC" w:rsidRPr="000D3966" w:rsidRDefault="007D1DDC" w:rsidP="007D1DDC">
            <w:pPr>
              <w:pStyle w:val="TableParagraph"/>
              <w:spacing w:before="45"/>
              <w:ind w:right="570"/>
              <w:jc w:val="right"/>
              <w:rPr>
                <w:rFonts w:asciiTheme="minorHAnsi" w:hAnsiTheme="minorHAnsi" w:cstheme="minorHAnsi"/>
                <w:sz w:val="24"/>
              </w:rPr>
            </w:pPr>
            <w:r>
              <w:rPr>
                <w:rFonts w:ascii="AcuminVariableConcept" w:hAnsi="AcuminVariableConcept" w:cs="AcuminVariableConcept"/>
                <w:color w:val="2C2D35"/>
                <w:sz w:val="24"/>
                <w:szCs w:val="24"/>
              </w:rPr>
              <w:t>0</w:t>
            </w:r>
          </w:p>
        </w:tc>
      </w:tr>
      <w:tr w:rsidR="007D1DDC" w:rsidRPr="00B2121F" w14:paraId="7947C40E" w14:textId="77777777" w:rsidTr="00B81306">
        <w:trPr>
          <w:trHeight w:val="454"/>
        </w:trPr>
        <w:tc>
          <w:tcPr>
            <w:tcW w:w="4673" w:type="dxa"/>
            <w:vAlign w:val="center"/>
          </w:tcPr>
          <w:p w14:paraId="239D105F" w14:textId="07316D23" w:rsidR="007D1DDC" w:rsidRPr="000D3966" w:rsidRDefault="007D1DDC" w:rsidP="007D1DDC">
            <w:pPr>
              <w:pStyle w:val="TableParagraph"/>
              <w:spacing w:before="43"/>
              <w:ind w:left="669" w:right="566"/>
              <w:rPr>
                <w:rFonts w:asciiTheme="minorHAnsi" w:hAnsiTheme="minorHAnsi" w:cstheme="minorHAnsi"/>
                <w:sz w:val="24"/>
              </w:rPr>
            </w:pPr>
            <w:r w:rsidRPr="00DF601D">
              <w:rPr>
                <w:rFonts w:asciiTheme="minorHAnsi" w:hAnsiTheme="minorHAnsi" w:cs="AcuminVariableConcept"/>
                <w:color w:val="2C2D35"/>
                <w:sz w:val="24"/>
                <w:szCs w:val="24"/>
              </w:rPr>
              <w:t>Provisions</w:t>
            </w:r>
          </w:p>
        </w:tc>
        <w:tc>
          <w:tcPr>
            <w:tcW w:w="1134" w:type="dxa"/>
          </w:tcPr>
          <w:p w14:paraId="5B89E3A7" w14:textId="577A9A52" w:rsidR="007D1DDC" w:rsidRPr="000D3966" w:rsidRDefault="007D1DDC" w:rsidP="007D1DDC">
            <w:pPr>
              <w:pStyle w:val="TableParagraph"/>
              <w:spacing w:before="44"/>
              <w:ind w:right="384"/>
              <w:jc w:val="right"/>
              <w:rPr>
                <w:rFonts w:asciiTheme="minorHAnsi" w:hAnsiTheme="minorHAnsi" w:cstheme="minorHAnsi"/>
                <w:w w:val="105"/>
                <w:sz w:val="24"/>
              </w:rPr>
            </w:pPr>
            <w:r>
              <w:rPr>
                <w:rFonts w:asciiTheme="minorHAnsi" w:hAnsiTheme="minorHAnsi" w:cstheme="minorHAnsi"/>
                <w:w w:val="105"/>
                <w:sz w:val="24"/>
              </w:rPr>
              <w:t>10</w:t>
            </w:r>
          </w:p>
        </w:tc>
        <w:tc>
          <w:tcPr>
            <w:tcW w:w="2268" w:type="dxa"/>
            <w:vAlign w:val="center"/>
          </w:tcPr>
          <w:p w14:paraId="53EF6106" w14:textId="157F2045" w:rsidR="007D1DDC" w:rsidRPr="000D3966" w:rsidRDefault="007D1DDC" w:rsidP="007D1DDC">
            <w:pPr>
              <w:pStyle w:val="TableParagraph"/>
              <w:spacing w:before="44"/>
              <w:ind w:right="384"/>
              <w:jc w:val="right"/>
              <w:rPr>
                <w:rFonts w:asciiTheme="minorHAnsi" w:hAnsiTheme="minorHAnsi" w:cstheme="minorHAnsi"/>
                <w:sz w:val="24"/>
              </w:rPr>
            </w:pPr>
            <w:r>
              <w:rPr>
                <w:rFonts w:ascii="AcuminVariableConcept" w:hAnsi="AcuminVariableConcept" w:cs="AcuminVariableConcept"/>
                <w:color w:val="2C2D35"/>
                <w:sz w:val="24"/>
                <w:szCs w:val="24"/>
              </w:rPr>
              <w:t>68,520</w:t>
            </w:r>
          </w:p>
        </w:tc>
        <w:tc>
          <w:tcPr>
            <w:tcW w:w="2268" w:type="dxa"/>
            <w:vAlign w:val="center"/>
          </w:tcPr>
          <w:p w14:paraId="2169F77A" w14:textId="4905C0CC" w:rsidR="007D1DDC" w:rsidRPr="000D3966" w:rsidRDefault="007D1DDC" w:rsidP="007D1DDC">
            <w:pPr>
              <w:pStyle w:val="TableParagraph"/>
              <w:spacing w:before="45"/>
              <w:ind w:right="570"/>
              <w:jc w:val="right"/>
              <w:rPr>
                <w:rFonts w:asciiTheme="minorHAnsi" w:hAnsiTheme="minorHAnsi" w:cstheme="minorHAnsi"/>
                <w:sz w:val="24"/>
              </w:rPr>
            </w:pPr>
            <w:r>
              <w:rPr>
                <w:rFonts w:ascii="AcuminVariableConcept" w:hAnsi="AcuminVariableConcept" w:cs="AcuminVariableConcept"/>
                <w:color w:val="2C2D35"/>
                <w:sz w:val="24"/>
                <w:szCs w:val="24"/>
              </w:rPr>
              <w:t>43,687</w:t>
            </w:r>
          </w:p>
        </w:tc>
      </w:tr>
      <w:tr w:rsidR="007D1DDC" w:rsidRPr="00B2121F" w14:paraId="6BA69281" w14:textId="77777777" w:rsidTr="00B81306">
        <w:trPr>
          <w:trHeight w:val="454"/>
        </w:trPr>
        <w:tc>
          <w:tcPr>
            <w:tcW w:w="4673" w:type="dxa"/>
            <w:vAlign w:val="center"/>
          </w:tcPr>
          <w:p w14:paraId="51394AE4" w14:textId="07153F3A" w:rsidR="007D1DDC" w:rsidRPr="000D3966" w:rsidRDefault="007D1DDC" w:rsidP="007D1DDC">
            <w:pPr>
              <w:pStyle w:val="TableParagraph"/>
              <w:spacing w:before="43"/>
              <w:ind w:left="601" w:right="566"/>
              <w:rPr>
                <w:rFonts w:asciiTheme="minorHAnsi" w:hAnsiTheme="minorHAnsi" w:cstheme="minorHAnsi"/>
                <w:sz w:val="24"/>
              </w:rPr>
            </w:pPr>
            <w:r w:rsidRPr="00DF601D">
              <w:rPr>
                <w:rFonts w:asciiTheme="minorHAnsi" w:hAnsiTheme="minorHAnsi" w:cs="AcuminVariableConcept"/>
                <w:color w:val="2C2D35"/>
                <w:sz w:val="24"/>
                <w:szCs w:val="24"/>
              </w:rPr>
              <w:t>Income in Advance</w:t>
            </w:r>
          </w:p>
        </w:tc>
        <w:tc>
          <w:tcPr>
            <w:tcW w:w="1134" w:type="dxa"/>
          </w:tcPr>
          <w:p w14:paraId="1DFAE5C5" w14:textId="7CC221C1" w:rsidR="007D1DDC" w:rsidRPr="000D3966" w:rsidRDefault="007D1DDC" w:rsidP="007D1DDC">
            <w:pPr>
              <w:pStyle w:val="TableParagraph"/>
              <w:spacing w:before="44"/>
              <w:ind w:right="383"/>
              <w:jc w:val="right"/>
              <w:rPr>
                <w:rFonts w:asciiTheme="minorHAnsi" w:hAnsiTheme="minorHAnsi" w:cstheme="minorHAnsi"/>
                <w:sz w:val="24"/>
              </w:rPr>
            </w:pPr>
            <w:r>
              <w:rPr>
                <w:rFonts w:asciiTheme="minorHAnsi" w:hAnsiTheme="minorHAnsi" w:cstheme="minorHAnsi"/>
                <w:w w:val="105"/>
                <w:sz w:val="24"/>
              </w:rPr>
              <w:t>11</w:t>
            </w:r>
          </w:p>
        </w:tc>
        <w:tc>
          <w:tcPr>
            <w:tcW w:w="2268" w:type="dxa"/>
            <w:vAlign w:val="center"/>
          </w:tcPr>
          <w:p w14:paraId="3D4D8158" w14:textId="3E95EC8A" w:rsidR="007D1DDC" w:rsidRPr="000D3966" w:rsidRDefault="007D1DDC" w:rsidP="007D1DDC">
            <w:pPr>
              <w:pStyle w:val="TableParagraph"/>
              <w:spacing w:before="44"/>
              <w:ind w:right="383"/>
              <w:jc w:val="right"/>
              <w:rPr>
                <w:rFonts w:asciiTheme="minorHAnsi" w:hAnsiTheme="minorHAnsi" w:cstheme="minorHAnsi"/>
                <w:b/>
                <w:bCs/>
                <w:sz w:val="24"/>
              </w:rPr>
            </w:pPr>
            <w:r>
              <w:rPr>
                <w:rFonts w:ascii="AcuminVariableConcept" w:hAnsi="AcuminVariableConcept" w:cs="AcuminVariableConcept"/>
                <w:color w:val="2C2D35"/>
                <w:sz w:val="24"/>
                <w:szCs w:val="24"/>
              </w:rPr>
              <w:t>677,132</w:t>
            </w:r>
          </w:p>
        </w:tc>
        <w:tc>
          <w:tcPr>
            <w:tcW w:w="2268" w:type="dxa"/>
            <w:vAlign w:val="center"/>
          </w:tcPr>
          <w:p w14:paraId="6167F172" w14:textId="18A034B0" w:rsidR="007D1DDC" w:rsidRPr="000D3966" w:rsidRDefault="007D1DDC" w:rsidP="007D1DDC">
            <w:pPr>
              <w:pStyle w:val="TableParagraph"/>
              <w:spacing w:before="45"/>
              <w:ind w:right="575"/>
              <w:jc w:val="right"/>
              <w:rPr>
                <w:rFonts w:asciiTheme="minorHAnsi" w:hAnsiTheme="minorHAnsi" w:cstheme="minorHAnsi"/>
                <w:b/>
                <w:bCs/>
                <w:sz w:val="24"/>
              </w:rPr>
            </w:pPr>
            <w:r>
              <w:rPr>
                <w:rFonts w:ascii="AcuminVariableConcept" w:hAnsi="AcuminVariableConcept" w:cs="AcuminVariableConcept"/>
                <w:color w:val="2C2D35"/>
                <w:sz w:val="24"/>
                <w:szCs w:val="24"/>
              </w:rPr>
              <w:t>644,213</w:t>
            </w:r>
          </w:p>
        </w:tc>
      </w:tr>
      <w:tr w:rsidR="007D1DDC" w:rsidRPr="00B2121F" w14:paraId="2F21127D" w14:textId="77777777" w:rsidTr="00B81306">
        <w:trPr>
          <w:trHeight w:val="454"/>
        </w:trPr>
        <w:tc>
          <w:tcPr>
            <w:tcW w:w="4673" w:type="dxa"/>
            <w:vAlign w:val="center"/>
          </w:tcPr>
          <w:p w14:paraId="704F54DF" w14:textId="179E0492" w:rsidR="007D1DDC" w:rsidRPr="007D1DDC" w:rsidRDefault="007D1DDC" w:rsidP="007D1DDC">
            <w:pPr>
              <w:pStyle w:val="TableParagraph"/>
              <w:spacing w:before="43"/>
              <w:ind w:left="669" w:right="566"/>
              <w:rPr>
                <w:rFonts w:asciiTheme="minorHAnsi" w:hAnsiTheme="minorHAnsi" w:cstheme="minorHAnsi"/>
                <w:i/>
                <w:iCs/>
                <w:sz w:val="24"/>
              </w:rPr>
            </w:pPr>
            <w:r w:rsidRPr="007D1DDC">
              <w:rPr>
                <w:rFonts w:asciiTheme="minorHAnsi" w:hAnsiTheme="minorHAnsi" w:cstheme="minorHAnsi"/>
                <w:i/>
                <w:iCs/>
                <w:sz w:val="24"/>
              </w:rPr>
              <w:t>Total Current Liabilities</w:t>
            </w:r>
          </w:p>
        </w:tc>
        <w:tc>
          <w:tcPr>
            <w:tcW w:w="1134" w:type="dxa"/>
          </w:tcPr>
          <w:p w14:paraId="2E77F283" w14:textId="77777777" w:rsidR="007D1DDC" w:rsidRPr="000D3966" w:rsidRDefault="007D1DDC" w:rsidP="007D1DDC">
            <w:pPr>
              <w:pStyle w:val="TableParagraph"/>
              <w:spacing w:before="44"/>
              <w:ind w:right="378"/>
              <w:jc w:val="right"/>
              <w:rPr>
                <w:rFonts w:asciiTheme="minorHAnsi" w:hAnsiTheme="minorHAnsi" w:cstheme="minorHAnsi"/>
                <w:sz w:val="24"/>
              </w:rPr>
            </w:pPr>
          </w:p>
        </w:tc>
        <w:tc>
          <w:tcPr>
            <w:tcW w:w="2268" w:type="dxa"/>
            <w:vAlign w:val="center"/>
          </w:tcPr>
          <w:p w14:paraId="4A9F5D09" w14:textId="55121383" w:rsidR="007D1DDC" w:rsidRPr="007D1DDC" w:rsidRDefault="007D1DDC" w:rsidP="007D1DDC">
            <w:pPr>
              <w:pStyle w:val="TableParagraph"/>
              <w:spacing w:before="44"/>
              <w:ind w:right="378"/>
              <w:jc w:val="right"/>
              <w:rPr>
                <w:rFonts w:asciiTheme="minorHAnsi" w:hAnsiTheme="minorHAnsi" w:cstheme="minorHAnsi"/>
                <w:b/>
                <w:bCs/>
                <w:sz w:val="24"/>
              </w:rPr>
            </w:pPr>
            <w:r w:rsidRPr="007D1DDC">
              <w:rPr>
                <w:rFonts w:ascii="AcuminVariableConcept" w:hAnsi="AcuminVariableConcept" w:cs="AcuminVariableConcept"/>
                <w:b/>
                <w:bCs/>
                <w:color w:val="2C2D35"/>
                <w:sz w:val="24"/>
                <w:szCs w:val="24"/>
              </w:rPr>
              <w:t>884, 810</w:t>
            </w:r>
          </w:p>
        </w:tc>
        <w:tc>
          <w:tcPr>
            <w:tcW w:w="2268" w:type="dxa"/>
            <w:vAlign w:val="center"/>
          </w:tcPr>
          <w:p w14:paraId="5EC10D1E" w14:textId="31835EAF" w:rsidR="007D1DDC" w:rsidRPr="007D1DDC" w:rsidRDefault="007D1DDC" w:rsidP="007D1DDC">
            <w:pPr>
              <w:pStyle w:val="TableParagraph"/>
              <w:spacing w:before="45"/>
              <w:ind w:right="570"/>
              <w:jc w:val="right"/>
              <w:rPr>
                <w:rFonts w:asciiTheme="minorHAnsi" w:hAnsiTheme="minorHAnsi" w:cstheme="minorHAnsi"/>
                <w:b/>
                <w:bCs/>
                <w:sz w:val="24"/>
              </w:rPr>
            </w:pPr>
            <w:r w:rsidRPr="007D1DDC">
              <w:rPr>
                <w:rFonts w:ascii="AcuminVariableConcept" w:hAnsi="AcuminVariableConcept" w:cs="AcuminVariableConcept"/>
                <w:b/>
                <w:bCs/>
                <w:color w:val="2C2D35"/>
                <w:sz w:val="24"/>
                <w:szCs w:val="24"/>
              </w:rPr>
              <w:t>752,496</w:t>
            </w:r>
          </w:p>
        </w:tc>
      </w:tr>
      <w:tr w:rsidR="007D1DDC" w:rsidRPr="00B2121F" w14:paraId="0E97E7AA" w14:textId="77777777" w:rsidTr="00B81306">
        <w:trPr>
          <w:trHeight w:val="454"/>
        </w:trPr>
        <w:tc>
          <w:tcPr>
            <w:tcW w:w="4673" w:type="dxa"/>
            <w:vAlign w:val="center"/>
          </w:tcPr>
          <w:p w14:paraId="373D514B" w14:textId="77777777" w:rsidR="007D1DDC" w:rsidRPr="000D3966" w:rsidRDefault="007D1DDC" w:rsidP="007D1DDC">
            <w:pPr>
              <w:pStyle w:val="TableParagraph"/>
              <w:spacing w:before="43"/>
              <w:ind w:left="669" w:right="566"/>
              <w:rPr>
                <w:rFonts w:asciiTheme="minorHAnsi" w:hAnsiTheme="minorHAnsi" w:cstheme="minorHAnsi"/>
                <w:sz w:val="24"/>
              </w:rPr>
            </w:pPr>
          </w:p>
        </w:tc>
        <w:tc>
          <w:tcPr>
            <w:tcW w:w="1134" w:type="dxa"/>
          </w:tcPr>
          <w:p w14:paraId="46646F41" w14:textId="77777777" w:rsidR="007D1DDC" w:rsidRPr="000D3966" w:rsidRDefault="007D1DDC" w:rsidP="007D1DDC">
            <w:pPr>
              <w:pStyle w:val="TableParagraph"/>
              <w:spacing w:before="44"/>
              <w:ind w:right="378"/>
              <w:jc w:val="right"/>
              <w:rPr>
                <w:rFonts w:asciiTheme="minorHAnsi" w:hAnsiTheme="minorHAnsi" w:cstheme="minorHAnsi"/>
                <w:sz w:val="24"/>
              </w:rPr>
            </w:pPr>
          </w:p>
        </w:tc>
        <w:tc>
          <w:tcPr>
            <w:tcW w:w="2268" w:type="dxa"/>
            <w:vAlign w:val="center"/>
          </w:tcPr>
          <w:p w14:paraId="160CF59F" w14:textId="77777777" w:rsidR="007D1DDC" w:rsidRPr="000D3966" w:rsidRDefault="007D1DDC" w:rsidP="007D1DDC">
            <w:pPr>
              <w:pStyle w:val="TableParagraph"/>
              <w:spacing w:before="44"/>
              <w:ind w:right="378"/>
              <w:jc w:val="right"/>
              <w:rPr>
                <w:rFonts w:asciiTheme="minorHAnsi" w:hAnsiTheme="minorHAnsi" w:cstheme="minorHAnsi"/>
                <w:sz w:val="24"/>
              </w:rPr>
            </w:pPr>
          </w:p>
        </w:tc>
        <w:tc>
          <w:tcPr>
            <w:tcW w:w="2268" w:type="dxa"/>
            <w:vAlign w:val="center"/>
          </w:tcPr>
          <w:p w14:paraId="0A37828C" w14:textId="77777777" w:rsidR="007D1DDC" w:rsidRPr="000D3966" w:rsidRDefault="007D1DDC" w:rsidP="007D1DDC">
            <w:pPr>
              <w:pStyle w:val="TableParagraph"/>
              <w:spacing w:before="45"/>
              <w:ind w:right="570"/>
              <w:jc w:val="right"/>
              <w:rPr>
                <w:rFonts w:asciiTheme="minorHAnsi" w:hAnsiTheme="minorHAnsi" w:cstheme="minorHAnsi"/>
                <w:sz w:val="24"/>
              </w:rPr>
            </w:pPr>
          </w:p>
        </w:tc>
      </w:tr>
      <w:tr w:rsidR="007D1DDC" w:rsidRPr="00B2121F" w14:paraId="2304A92E" w14:textId="77777777" w:rsidTr="00B81306">
        <w:trPr>
          <w:trHeight w:val="454"/>
        </w:trPr>
        <w:tc>
          <w:tcPr>
            <w:tcW w:w="4673" w:type="dxa"/>
            <w:vAlign w:val="center"/>
          </w:tcPr>
          <w:p w14:paraId="22CF100A" w14:textId="77777777" w:rsidR="007D1DDC" w:rsidRPr="000D3966" w:rsidRDefault="007D1DDC" w:rsidP="007D1DDC">
            <w:pPr>
              <w:pStyle w:val="TableParagraph"/>
              <w:spacing w:before="11"/>
              <w:ind w:right="566"/>
              <w:rPr>
                <w:rFonts w:asciiTheme="minorHAnsi" w:hAnsiTheme="minorHAnsi" w:cstheme="minorHAnsi"/>
                <w:sz w:val="31"/>
              </w:rPr>
            </w:pPr>
          </w:p>
          <w:p w14:paraId="7CA7262C" w14:textId="072AC6E3" w:rsidR="007D1DDC" w:rsidRPr="000D3966" w:rsidRDefault="007D1DDC" w:rsidP="007D1DDC">
            <w:pPr>
              <w:pStyle w:val="TableParagraph"/>
              <w:ind w:left="385" w:right="566"/>
              <w:rPr>
                <w:rFonts w:asciiTheme="minorHAnsi" w:hAnsiTheme="minorHAnsi" w:cstheme="minorHAnsi"/>
                <w:b/>
                <w:bCs/>
                <w:sz w:val="24"/>
              </w:rPr>
            </w:pPr>
            <w:r w:rsidRPr="000D3966">
              <w:rPr>
                <w:rFonts w:asciiTheme="minorHAnsi" w:hAnsiTheme="minorHAnsi" w:cstheme="minorHAnsi"/>
                <w:b/>
                <w:bCs/>
                <w:sz w:val="24"/>
              </w:rPr>
              <w:t xml:space="preserve">Non-Current </w:t>
            </w:r>
            <w:r w:rsidRPr="00DF601D">
              <w:rPr>
                <w:rFonts w:asciiTheme="minorHAnsi" w:hAnsiTheme="minorHAnsi" w:cstheme="minorHAnsi"/>
                <w:b/>
                <w:bCs/>
                <w:sz w:val="24"/>
              </w:rPr>
              <w:t>Liabilities</w:t>
            </w:r>
          </w:p>
        </w:tc>
        <w:tc>
          <w:tcPr>
            <w:tcW w:w="1134" w:type="dxa"/>
          </w:tcPr>
          <w:p w14:paraId="33705E52" w14:textId="77777777" w:rsidR="007D1DDC" w:rsidRPr="000D3966" w:rsidRDefault="007D1DDC" w:rsidP="007D1DDC">
            <w:pPr>
              <w:pStyle w:val="TableParagraph"/>
              <w:jc w:val="right"/>
              <w:rPr>
                <w:rFonts w:asciiTheme="minorHAnsi" w:hAnsiTheme="minorHAnsi" w:cstheme="minorHAnsi"/>
                <w:sz w:val="24"/>
              </w:rPr>
            </w:pPr>
          </w:p>
        </w:tc>
        <w:tc>
          <w:tcPr>
            <w:tcW w:w="2268" w:type="dxa"/>
            <w:vAlign w:val="center"/>
          </w:tcPr>
          <w:p w14:paraId="78DF3ED6" w14:textId="77777777" w:rsidR="007D1DDC" w:rsidRPr="000D3966" w:rsidRDefault="007D1DDC" w:rsidP="007D1DDC">
            <w:pPr>
              <w:pStyle w:val="TableParagraph"/>
              <w:jc w:val="right"/>
              <w:rPr>
                <w:rFonts w:asciiTheme="minorHAnsi" w:hAnsiTheme="minorHAnsi" w:cstheme="minorHAnsi"/>
                <w:sz w:val="24"/>
              </w:rPr>
            </w:pPr>
          </w:p>
        </w:tc>
        <w:tc>
          <w:tcPr>
            <w:tcW w:w="2268" w:type="dxa"/>
            <w:vAlign w:val="center"/>
          </w:tcPr>
          <w:p w14:paraId="277A89C9" w14:textId="77777777" w:rsidR="007D1DDC" w:rsidRPr="000D3966" w:rsidRDefault="007D1DDC" w:rsidP="007D1DDC">
            <w:pPr>
              <w:pStyle w:val="TableParagraph"/>
              <w:jc w:val="right"/>
              <w:rPr>
                <w:rFonts w:asciiTheme="minorHAnsi" w:hAnsiTheme="minorHAnsi" w:cstheme="minorHAnsi"/>
                <w:sz w:val="24"/>
              </w:rPr>
            </w:pPr>
          </w:p>
        </w:tc>
      </w:tr>
      <w:tr w:rsidR="007D1DDC" w:rsidRPr="00B2121F" w14:paraId="1D752794" w14:textId="77777777" w:rsidTr="00B81306">
        <w:trPr>
          <w:trHeight w:val="454"/>
        </w:trPr>
        <w:tc>
          <w:tcPr>
            <w:tcW w:w="4673" w:type="dxa"/>
            <w:vAlign w:val="center"/>
          </w:tcPr>
          <w:p w14:paraId="04DB164B" w14:textId="3978E397" w:rsidR="007D1DDC" w:rsidRPr="000D3966" w:rsidRDefault="007D1DDC" w:rsidP="007D1DDC">
            <w:pPr>
              <w:pStyle w:val="TableParagraph"/>
              <w:spacing w:before="44"/>
              <w:ind w:left="669" w:right="566"/>
              <w:rPr>
                <w:rFonts w:asciiTheme="minorHAnsi" w:hAnsiTheme="minorHAnsi" w:cstheme="minorHAnsi"/>
                <w:sz w:val="24"/>
              </w:rPr>
            </w:pPr>
            <w:r w:rsidRPr="00DF601D">
              <w:rPr>
                <w:rFonts w:asciiTheme="minorHAnsi" w:hAnsiTheme="minorHAnsi" w:cs="AcuminVariableConcept"/>
                <w:color w:val="2C2D35"/>
                <w:sz w:val="24"/>
                <w:szCs w:val="24"/>
              </w:rPr>
              <w:t>Provisions</w:t>
            </w:r>
          </w:p>
        </w:tc>
        <w:tc>
          <w:tcPr>
            <w:tcW w:w="1134" w:type="dxa"/>
          </w:tcPr>
          <w:p w14:paraId="63F2E0C9" w14:textId="08D9925A" w:rsidR="007D1DDC" w:rsidRPr="000D3966" w:rsidRDefault="007D1DDC" w:rsidP="007D1DDC">
            <w:pPr>
              <w:pStyle w:val="TableParagraph"/>
              <w:spacing w:before="45"/>
              <w:ind w:right="378"/>
              <w:jc w:val="right"/>
              <w:rPr>
                <w:rFonts w:asciiTheme="minorHAnsi" w:hAnsiTheme="minorHAnsi" w:cstheme="minorHAnsi"/>
                <w:w w:val="105"/>
                <w:sz w:val="24"/>
              </w:rPr>
            </w:pPr>
            <w:r>
              <w:rPr>
                <w:rFonts w:asciiTheme="minorHAnsi" w:hAnsiTheme="minorHAnsi" w:cstheme="minorHAnsi"/>
                <w:w w:val="105"/>
                <w:sz w:val="24"/>
              </w:rPr>
              <w:t>10</w:t>
            </w:r>
          </w:p>
        </w:tc>
        <w:tc>
          <w:tcPr>
            <w:tcW w:w="2268" w:type="dxa"/>
            <w:vAlign w:val="center"/>
          </w:tcPr>
          <w:p w14:paraId="77A658EE" w14:textId="09D0F683" w:rsidR="007D1DDC" w:rsidRPr="000D3966" w:rsidRDefault="007D1DDC" w:rsidP="007D1DDC">
            <w:pPr>
              <w:pStyle w:val="TableParagraph"/>
              <w:spacing w:before="45"/>
              <w:ind w:right="378"/>
              <w:jc w:val="right"/>
              <w:rPr>
                <w:rFonts w:asciiTheme="minorHAnsi" w:hAnsiTheme="minorHAnsi" w:cstheme="minorHAnsi"/>
                <w:sz w:val="24"/>
              </w:rPr>
            </w:pPr>
            <w:r>
              <w:rPr>
                <w:rFonts w:ascii="AcuminVariableConcept" w:hAnsi="AcuminVariableConcept" w:cs="AcuminVariableConcept"/>
                <w:color w:val="2C2D35"/>
                <w:sz w:val="24"/>
                <w:szCs w:val="24"/>
              </w:rPr>
              <w:t>31,616</w:t>
            </w:r>
          </w:p>
        </w:tc>
        <w:tc>
          <w:tcPr>
            <w:tcW w:w="2268" w:type="dxa"/>
            <w:vAlign w:val="center"/>
          </w:tcPr>
          <w:p w14:paraId="43AEA177" w14:textId="4C3025F8" w:rsidR="007D1DDC" w:rsidRPr="000D3966" w:rsidRDefault="007D1DDC" w:rsidP="007D1DDC">
            <w:pPr>
              <w:pStyle w:val="TableParagraph"/>
              <w:spacing w:before="46"/>
              <w:ind w:right="570"/>
              <w:jc w:val="right"/>
              <w:rPr>
                <w:rFonts w:asciiTheme="minorHAnsi" w:hAnsiTheme="minorHAnsi" w:cstheme="minorHAnsi"/>
                <w:sz w:val="24"/>
              </w:rPr>
            </w:pPr>
            <w:r>
              <w:rPr>
                <w:rFonts w:ascii="AcuminVariableConcept" w:hAnsi="AcuminVariableConcept" w:cs="AcuminVariableConcept"/>
                <w:color w:val="2C2D35"/>
                <w:sz w:val="24"/>
                <w:szCs w:val="24"/>
              </w:rPr>
              <w:t>22,385</w:t>
            </w:r>
          </w:p>
        </w:tc>
      </w:tr>
      <w:tr w:rsidR="007D1DDC" w:rsidRPr="00B2121F" w14:paraId="3D774B48" w14:textId="77777777" w:rsidTr="00B81306">
        <w:trPr>
          <w:trHeight w:val="454"/>
        </w:trPr>
        <w:tc>
          <w:tcPr>
            <w:tcW w:w="4673" w:type="dxa"/>
            <w:vAlign w:val="center"/>
          </w:tcPr>
          <w:p w14:paraId="327C07F9" w14:textId="0328DEE6" w:rsidR="007D1DDC" w:rsidRPr="007D1DDC" w:rsidRDefault="007D1DDC" w:rsidP="007D1DDC">
            <w:pPr>
              <w:pStyle w:val="TableParagraph"/>
              <w:spacing w:before="43"/>
              <w:ind w:left="669" w:right="566"/>
              <w:rPr>
                <w:rFonts w:asciiTheme="minorHAnsi" w:hAnsiTheme="minorHAnsi" w:cstheme="minorHAnsi"/>
                <w:i/>
                <w:iCs/>
                <w:sz w:val="24"/>
              </w:rPr>
            </w:pPr>
            <w:r w:rsidRPr="007D1DDC">
              <w:rPr>
                <w:rFonts w:asciiTheme="minorHAnsi" w:hAnsiTheme="minorHAnsi" w:cs="AcuminVariableConcept"/>
                <w:i/>
                <w:iCs/>
                <w:color w:val="2C2D35"/>
                <w:sz w:val="24"/>
                <w:szCs w:val="24"/>
              </w:rPr>
              <w:t>Total Non-Current Liabilities</w:t>
            </w:r>
          </w:p>
        </w:tc>
        <w:tc>
          <w:tcPr>
            <w:tcW w:w="1134" w:type="dxa"/>
          </w:tcPr>
          <w:p w14:paraId="5B4A9F91" w14:textId="77777777" w:rsidR="007D1DDC" w:rsidRPr="000D3966" w:rsidRDefault="007D1DDC" w:rsidP="007D1DDC">
            <w:pPr>
              <w:pStyle w:val="TableParagraph"/>
              <w:spacing w:before="44"/>
              <w:ind w:right="378"/>
              <w:jc w:val="right"/>
              <w:rPr>
                <w:rFonts w:asciiTheme="minorHAnsi" w:hAnsiTheme="minorHAnsi" w:cstheme="minorHAnsi"/>
                <w:w w:val="105"/>
                <w:sz w:val="24"/>
              </w:rPr>
            </w:pPr>
          </w:p>
        </w:tc>
        <w:tc>
          <w:tcPr>
            <w:tcW w:w="2268" w:type="dxa"/>
            <w:vAlign w:val="center"/>
          </w:tcPr>
          <w:p w14:paraId="58D85BC9" w14:textId="43980285" w:rsidR="007D1DDC" w:rsidRPr="007D1DDC" w:rsidRDefault="007D1DDC" w:rsidP="007D1DDC">
            <w:pPr>
              <w:pStyle w:val="TableParagraph"/>
              <w:spacing w:before="44"/>
              <w:ind w:right="378"/>
              <w:jc w:val="right"/>
              <w:rPr>
                <w:rFonts w:asciiTheme="minorHAnsi" w:hAnsiTheme="minorHAnsi" w:cstheme="minorHAnsi"/>
                <w:b/>
                <w:bCs/>
                <w:sz w:val="24"/>
              </w:rPr>
            </w:pPr>
            <w:r w:rsidRPr="007D1DDC">
              <w:rPr>
                <w:rFonts w:ascii="AcuminVariableConcept" w:hAnsi="AcuminVariableConcept" w:cs="AcuminVariableConcept"/>
                <w:b/>
                <w:bCs/>
                <w:color w:val="2C2D35"/>
                <w:sz w:val="24"/>
                <w:szCs w:val="24"/>
              </w:rPr>
              <w:t>31,616</w:t>
            </w:r>
          </w:p>
        </w:tc>
        <w:tc>
          <w:tcPr>
            <w:tcW w:w="2268" w:type="dxa"/>
            <w:vAlign w:val="center"/>
          </w:tcPr>
          <w:p w14:paraId="7F460D40" w14:textId="469B2243" w:rsidR="007D1DDC" w:rsidRPr="007D1DDC" w:rsidRDefault="007D1DDC" w:rsidP="007D1DDC">
            <w:pPr>
              <w:pStyle w:val="TableParagraph"/>
              <w:spacing w:before="45"/>
              <w:ind w:right="575"/>
              <w:jc w:val="right"/>
              <w:rPr>
                <w:rFonts w:asciiTheme="minorHAnsi" w:hAnsiTheme="minorHAnsi" w:cstheme="minorHAnsi"/>
                <w:b/>
                <w:bCs/>
                <w:sz w:val="24"/>
              </w:rPr>
            </w:pPr>
            <w:r w:rsidRPr="007D1DDC">
              <w:rPr>
                <w:rFonts w:ascii="AcuminVariableConcept" w:hAnsi="AcuminVariableConcept" w:cs="AcuminVariableConcept"/>
                <w:b/>
                <w:bCs/>
                <w:color w:val="2C2D35"/>
                <w:sz w:val="24"/>
                <w:szCs w:val="24"/>
              </w:rPr>
              <w:t>22,385</w:t>
            </w:r>
          </w:p>
        </w:tc>
      </w:tr>
      <w:tr w:rsidR="007D1DDC" w:rsidRPr="00B2121F" w14:paraId="7D3F28CE" w14:textId="77777777" w:rsidTr="00B81306">
        <w:trPr>
          <w:trHeight w:val="454"/>
        </w:trPr>
        <w:tc>
          <w:tcPr>
            <w:tcW w:w="4673" w:type="dxa"/>
            <w:vAlign w:val="center"/>
          </w:tcPr>
          <w:p w14:paraId="37FCBF8F" w14:textId="77777777" w:rsidR="007D1DDC" w:rsidRPr="000D3966" w:rsidRDefault="007D1DDC" w:rsidP="007D1DDC">
            <w:pPr>
              <w:pStyle w:val="TableParagraph"/>
              <w:spacing w:before="43"/>
              <w:ind w:left="669" w:right="566"/>
              <w:rPr>
                <w:rFonts w:asciiTheme="minorHAnsi" w:hAnsiTheme="minorHAnsi" w:cstheme="minorHAnsi"/>
                <w:sz w:val="24"/>
              </w:rPr>
            </w:pPr>
          </w:p>
        </w:tc>
        <w:tc>
          <w:tcPr>
            <w:tcW w:w="1134" w:type="dxa"/>
          </w:tcPr>
          <w:p w14:paraId="764DA1A5" w14:textId="77777777" w:rsidR="007D1DDC" w:rsidRPr="000D3966" w:rsidRDefault="007D1DDC" w:rsidP="007D1DDC">
            <w:pPr>
              <w:pStyle w:val="TableParagraph"/>
              <w:spacing w:before="44"/>
              <w:ind w:right="382"/>
              <w:jc w:val="right"/>
              <w:rPr>
                <w:rFonts w:asciiTheme="minorHAnsi" w:hAnsiTheme="minorHAnsi" w:cstheme="minorHAnsi"/>
                <w:w w:val="105"/>
                <w:sz w:val="24"/>
              </w:rPr>
            </w:pPr>
          </w:p>
        </w:tc>
        <w:tc>
          <w:tcPr>
            <w:tcW w:w="2268" w:type="dxa"/>
            <w:vAlign w:val="center"/>
          </w:tcPr>
          <w:p w14:paraId="1B3F28D6" w14:textId="77777777" w:rsidR="007D1DDC" w:rsidRPr="000D3966" w:rsidRDefault="007D1DDC" w:rsidP="007D1DDC">
            <w:pPr>
              <w:pStyle w:val="TableParagraph"/>
              <w:spacing w:before="44"/>
              <w:ind w:right="382"/>
              <w:jc w:val="right"/>
              <w:rPr>
                <w:rFonts w:asciiTheme="minorHAnsi" w:hAnsiTheme="minorHAnsi" w:cstheme="minorHAnsi"/>
                <w:b/>
                <w:bCs/>
                <w:sz w:val="24"/>
              </w:rPr>
            </w:pPr>
          </w:p>
        </w:tc>
        <w:tc>
          <w:tcPr>
            <w:tcW w:w="2268" w:type="dxa"/>
            <w:vAlign w:val="center"/>
          </w:tcPr>
          <w:p w14:paraId="610E50D0" w14:textId="77777777" w:rsidR="007D1DDC" w:rsidRPr="00DF601D" w:rsidRDefault="007D1DDC" w:rsidP="007D1DDC">
            <w:pPr>
              <w:pStyle w:val="TableParagraph"/>
              <w:spacing w:before="45"/>
              <w:ind w:right="570"/>
              <w:jc w:val="right"/>
              <w:rPr>
                <w:rFonts w:asciiTheme="minorHAnsi" w:hAnsiTheme="minorHAnsi" w:cstheme="minorHAnsi"/>
                <w:b/>
                <w:bCs/>
                <w:sz w:val="24"/>
              </w:rPr>
            </w:pPr>
          </w:p>
        </w:tc>
      </w:tr>
      <w:tr w:rsidR="007D1DDC" w:rsidRPr="00B2121F" w14:paraId="3F66D9B3" w14:textId="77777777" w:rsidTr="00B81306">
        <w:trPr>
          <w:trHeight w:val="454"/>
        </w:trPr>
        <w:tc>
          <w:tcPr>
            <w:tcW w:w="4673" w:type="dxa"/>
            <w:vAlign w:val="center"/>
          </w:tcPr>
          <w:p w14:paraId="5D936636" w14:textId="1E379E08" w:rsidR="007D1DDC" w:rsidRPr="007D1DDC" w:rsidRDefault="007D1DDC" w:rsidP="007D1DDC">
            <w:pPr>
              <w:pStyle w:val="TableParagraph"/>
              <w:spacing w:before="43"/>
              <w:ind w:left="709" w:right="566" w:hanging="283"/>
              <w:rPr>
                <w:rFonts w:asciiTheme="minorHAnsi" w:hAnsiTheme="minorHAnsi" w:cstheme="minorHAnsi"/>
                <w:b/>
                <w:bCs/>
                <w:sz w:val="24"/>
              </w:rPr>
            </w:pPr>
            <w:r w:rsidRPr="007D1DDC">
              <w:rPr>
                <w:rFonts w:asciiTheme="minorHAnsi" w:hAnsiTheme="minorHAnsi" w:cstheme="minorHAnsi"/>
                <w:b/>
                <w:bCs/>
                <w:sz w:val="24"/>
              </w:rPr>
              <w:t>Total Liabilities</w:t>
            </w:r>
          </w:p>
        </w:tc>
        <w:tc>
          <w:tcPr>
            <w:tcW w:w="1134" w:type="dxa"/>
          </w:tcPr>
          <w:p w14:paraId="7AC50898" w14:textId="77777777" w:rsidR="007D1DDC" w:rsidRPr="000D3966" w:rsidRDefault="007D1DDC" w:rsidP="007D1DDC">
            <w:pPr>
              <w:pStyle w:val="TableParagraph"/>
              <w:spacing w:before="44"/>
              <w:ind w:right="382"/>
              <w:jc w:val="right"/>
              <w:rPr>
                <w:rFonts w:asciiTheme="minorHAnsi" w:hAnsiTheme="minorHAnsi" w:cstheme="minorHAnsi"/>
                <w:w w:val="105"/>
                <w:sz w:val="24"/>
              </w:rPr>
            </w:pPr>
          </w:p>
        </w:tc>
        <w:tc>
          <w:tcPr>
            <w:tcW w:w="2268" w:type="dxa"/>
            <w:vAlign w:val="center"/>
          </w:tcPr>
          <w:p w14:paraId="73E7AD65" w14:textId="5C79AA41" w:rsidR="007D1DDC" w:rsidRPr="007D1DDC" w:rsidRDefault="007D1DDC" w:rsidP="007D1DDC">
            <w:pPr>
              <w:pStyle w:val="TableParagraph"/>
              <w:spacing w:before="44"/>
              <w:ind w:right="382"/>
              <w:jc w:val="right"/>
              <w:rPr>
                <w:rFonts w:asciiTheme="minorHAnsi" w:hAnsiTheme="minorHAnsi" w:cstheme="minorHAnsi"/>
                <w:b/>
                <w:bCs/>
                <w:sz w:val="24"/>
              </w:rPr>
            </w:pPr>
            <w:r w:rsidRPr="007D1DDC">
              <w:rPr>
                <w:rFonts w:ascii="AcuminVariableConcept" w:hAnsi="AcuminVariableConcept" w:cs="AcuminVariableConcept"/>
                <w:b/>
                <w:bCs/>
                <w:color w:val="2C2D35"/>
                <w:sz w:val="24"/>
                <w:szCs w:val="24"/>
              </w:rPr>
              <w:t>916,426</w:t>
            </w:r>
          </w:p>
        </w:tc>
        <w:tc>
          <w:tcPr>
            <w:tcW w:w="2268" w:type="dxa"/>
            <w:vAlign w:val="center"/>
          </w:tcPr>
          <w:p w14:paraId="19F3F767" w14:textId="30C91A6C" w:rsidR="007D1DDC" w:rsidRPr="007D1DDC" w:rsidRDefault="007D1DDC" w:rsidP="007D1DDC">
            <w:pPr>
              <w:pStyle w:val="TableParagraph"/>
              <w:spacing w:before="45"/>
              <w:ind w:right="570"/>
              <w:jc w:val="right"/>
              <w:rPr>
                <w:rFonts w:asciiTheme="minorHAnsi" w:hAnsiTheme="minorHAnsi" w:cstheme="minorHAnsi"/>
                <w:b/>
                <w:bCs/>
                <w:sz w:val="24"/>
              </w:rPr>
            </w:pPr>
            <w:r w:rsidRPr="007D1DDC">
              <w:rPr>
                <w:rFonts w:ascii="AcuminVariableConcept" w:hAnsi="AcuminVariableConcept" w:cs="AcuminVariableConcept"/>
                <w:b/>
                <w:bCs/>
                <w:color w:val="2C2D35"/>
                <w:sz w:val="24"/>
                <w:szCs w:val="24"/>
              </w:rPr>
              <w:t>774, 881</w:t>
            </w:r>
          </w:p>
        </w:tc>
      </w:tr>
      <w:tr w:rsidR="007D1DDC" w:rsidRPr="00B2121F" w14:paraId="10704698" w14:textId="77777777" w:rsidTr="00B81306">
        <w:trPr>
          <w:trHeight w:val="454"/>
        </w:trPr>
        <w:tc>
          <w:tcPr>
            <w:tcW w:w="4673" w:type="dxa"/>
            <w:vAlign w:val="center"/>
          </w:tcPr>
          <w:p w14:paraId="248FECE3" w14:textId="51FBBD8C" w:rsidR="007D1DDC" w:rsidRPr="000D3966" w:rsidRDefault="007D1DDC" w:rsidP="007D1DDC">
            <w:pPr>
              <w:pStyle w:val="TableParagraph"/>
              <w:spacing w:before="43"/>
              <w:ind w:left="669" w:right="566"/>
              <w:rPr>
                <w:rFonts w:asciiTheme="minorHAnsi" w:hAnsiTheme="minorHAnsi" w:cstheme="minorHAnsi"/>
                <w:sz w:val="24"/>
              </w:rPr>
            </w:pPr>
          </w:p>
        </w:tc>
        <w:tc>
          <w:tcPr>
            <w:tcW w:w="1134" w:type="dxa"/>
          </w:tcPr>
          <w:p w14:paraId="407F913D" w14:textId="77777777" w:rsidR="007D1DDC" w:rsidRPr="000D3966" w:rsidRDefault="007D1DDC" w:rsidP="007D1DDC">
            <w:pPr>
              <w:pStyle w:val="TableParagraph"/>
              <w:spacing w:before="44"/>
              <w:ind w:right="382"/>
              <w:jc w:val="right"/>
              <w:rPr>
                <w:rFonts w:asciiTheme="minorHAnsi" w:hAnsiTheme="minorHAnsi" w:cstheme="minorHAnsi"/>
                <w:w w:val="105"/>
                <w:sz w:val="24"/>
              </w:rPr>
            </w:pPr>
          </w:p>
        </w:tc>
        <w:tc>
          <w:tcPr>
            <w:tcW w:w="2268" w:type="dxa"/>
            <w:vAlign w:val="center"/>
          </w:tcPr>
          <w:p w14:paraId="78F3A3A7" w14:textId="41A39335" w:rsidR="007D1DDC" w:rsidRPr="000D3966" w:rsidRDefault="007D1DDC" w:rsidP="007D1DDC">
            <w:pPr>
              <w:pStyle w:val="TableParagraph"/>
              <w:spacing w:before="44"/>
              <w:ind w:right="382"/>
              <w:jc w:val="right"/>
              <w:rPr>
                <w:rFonts w:asciiTheme="minorHAnsi" w:hAnsiTheme="minorHAnsi" w:cstheme="minorHAnsi"/>
                <w:b/>
                <w:bCs/>
                <w:sz w:val="24"/>
              </w:rPr>
            </w:pPr>
          </w:p>
        </w:tc>
        <w:tc>
          <w:tcPr>
            <w:tcW w:w="2268" w:type="dxa"/>
            <w:vAlign w:val="center"/>
          </w:tcPr>
          <w:p w14:paraId="35DA3D59" w14:textId="3B531F96" w:rsidR="007D1DDC" w:rsidRPr="00DF601D" w:rsidRDefault="007D1DDC" w:rsidP="007D1DDC">
            <w:pPr>
              <w:pStyle w:val="TableParagraph"/>
              <w:spacing w:before="45"/>
              <w:ind w:right="570"/>
              <w:jc w:val="right"/>
              <w:rPr>
                <w:rFonts w:asciiTheme="minorHAnsi" w:hAnsiTheme="minorHAnsi" w:cstheme="minorHAnsi"/>
                <w:b/>
                <w:bCs/>
                <w:sz w:val="24"/>
              </w:rPr>
            </w:pPr>
          </w:p>
        </w:tc>
      </w:tr>
      <w:tr w:rsidR="007D1DDC" w:rsidRPr="00B2121F" w14:paraId="3BB201F1" w14:textId="77777777" w:rsidTr="00B81306">
        <w:trPr>
          <w:trHeight w:val="454"/>
        </w:trPr>
        <w:tc>
          <w:tcPr>
            <w:tcW w:w="4673" w:type="dxa"/>
            <w:shd w:val="clear" w:color="auto" w:fill="D6EAF4"/>
            <w:vAlign w:val="center"/>
          </w:tcPr>
          <w:p w14:paraId="3E50DEBB" w14:textId="7BB1A6D7" w:rsidR="007D1DDC" w:rsidRPr="000D3966" w:rsidRDefault="007D1DDC" w:rsidP="007D1DDC">
            <w:pPr>
              <w:pStyle w:val="TableParagraph"/>
              <w:spacing w:before="35"/>
              <w:ind w:left="385" w:right="566"/>
              <w:rPr>
                <w:rFonts w:asciiTheme="minorHAnsi" w:hAnsiTheme="minorHAnsi" w:cstheme="minorHAnsi"/>
                <w:b/>
                <w:bCs/>
                <w:sz w:val="24"/>
              </w:rPr>
            </w:pPr>
            <w:r>
              <w:rPr>
                <w:rFonts w:asciiTheme="minorHAnsi" w:hAnsiTheme="minorHAnsi" w:cstheme="minorHAnsi"/>
                <w:b/>
                <w:bCs/>
                <w:w w:val="115"/>
                <w:sz w:val="24"/>
              </w:rPr>
              <w:t>Net</w:t>
            </w:r>
            <w:r w:rsidRPr="000D3966">
              <w:rPr>
                <w:rFonts w:asciiTheme="minorHAnsi" w:hAnsiTheme="minorHAnsi" w:cstheme="minorHAnsi"/>
                <w:b/>
                <w:bCs/>
                <w:w w:val="115"/>
                <w:sz w:val="24"/>
              </w:rPr>
              <w:t xml:space="preserve"> Assets</w:t>
            </w:r>
          </w:p>
        </w:tc>
        <w:tc>
          <w:tcPr>
            <w:tcW w:w="1134" w:type="dxa"/>
            <w:shd w:val="clear" w:color="auto" w:fill="D6EAF4"/>
          </w:tcPr>
          <w:p w14:paraId="3F7D7789" w14:textId="77777777" w:rsidR="007D1DDC" w:rsidRPr="000D3966" w:rsidRDefault="007D1DDC" w:rsidP="007D1DDC">
            <w:pPr>
              <w:pStyle w:val="TableParagraph"/>
              <w:spacing w:before="36"/>
              <w:ind w:right="391"/>
              <w:jc w:val="right"/>
              <w:rPr>
                <w:rFonts w:asciiTheme="minorHAnsi" w:hAnsiTheme="minorHAnsi" w:cstheme="minorHAnsi"/>
                <w:w w:val="110"/>
                <w:sz w:val="24"/>
              </w:rPr>
            </w:pPr>
          </w:p>
        </w:tc>
        <w:tc>
          <w:tcPr>
            <w:tcW w:w="2268" w:type="dxa"/>
            <w:shd w:val="clear" w:color="auto" w:fill="D6EAF4"/>
            <w:vAlign w:val="center"/>
          </w:tcPr>
          <w:p w14:paraId="4B5FA72C" w14:textId="7B0BB49C" w:rsidR="007D1DDC" w:rsidRPr="007D1DDC" w:rsidRDefault="007D1DDC" w:rsidP="007D1DDC">
            <w:pPr>
              <w:pStyle w:val="TableParagraph"/>
              <w:spacing w:before="36"/>
              <w:ind w:right="391"/>
              <w:jc w:val="right"/>
              <w:rPr>
                <w:rFonts w:asciiTheme="minorHAnsi" w:hAnsiTheme="minorHAnsi" w:cstheme="minorHAnsi"/>
                <w:b/>
                <w:bCs/>
                <w:sz w:val="24"/>
              </w:rPr>
            </w:pPr>
            <w:r w:rsidRPr="007D1DDC">
              <w:rPr>
                <w:rFonts w:ascii="AcuminVariableConcept" w:hAnsi="AcuminVariableConcept" w:cs="AcuminVariableConcept"/>
                <w:b/>
                <w:bCs/>
                <w:color w:val="2C2D35"/>
                <w:sz w:val="24"/>
                <w:szCs w:val="24"/>
              </w:rPr>
              <w:t>997,188</w:t>
            </w:r>
          </w:p>
        </w:tc>
        <w:tc>
          <w:tcPr>
            <w:tcW w:w="2268" w:type="dxa"/>
            <w:shd w:val="clear" w:color="auto" w:fill="D6EAF4"/>
            <w:vAlign w:val="center"/>
          </w:tcPr>
          <w:p w14:paraId="2F9D2C1C" w14:textId="620AAB2B" w:rsidR="007D1DDC" w:rsidRPr="007D1DDC" w:rsidRDefault="007D1DDC" w:rsidP="007D1DDC">
            <w:pPr>
              <w:pStyle w:val="TableParagraph"/>
              <w:spacing w:before="37"/>
              <w:ind w:right="583"/>
              <w:jc w:val="right"/>
              <w:rPr>
                <w:rFonts w:asciiTheme="minorHAnsi" w:hAnsiTheme="minorHAnsi" w:cstheme="minorHAnsi"/>
                <w:b/>
                <w:bCs/>
                <w:sz w:val="24"/>
              </w:rPr>
            </w:pPr>
            <w:r w:rsidRPr="007D1DDC">
              <w:rPr>
                <w:rFonts w:ascii="AcuminVariableConcept" w:hAnsi="AcuminVariableConcept" w:cs="AcuminVariableConcept"/>
                <w:b/>
                <w:bCs/>
                <w:color w:val="2C2D35"/>
                <w:sz w:val="24"/>
                <w:szCs w:val="24"/>
              </w:rPr>
              <w:t>863,306</w:t>
            </w:r>
          </w:p>
        </w:tc>
      </w:tr>
      <w:tr w:rsidR="007D1DDC" w:rsidRPr="00B2121F" w14:paraId="33E8CC63" w14:textId="77777777" w:rsidTr="00DF601D">
        <w:trPr>
          <w:trHeight w:val="454"/>
        </w:trPr>
        <w:tc>
          <w:tcPr>
            <w:tcW w:w="4673" w:type="dxa"/>
            <w:shd w:val="clear" w:color="auto" w:fill="auto"/>
            <w:vAlign w:val="center"/>
          </w:tcPr>
          <w:p w14:paraId="59BF5D54" w14:textId="77777777" w:rsidR="007D1DDC" w:rsidRPr="00DF601D" w:rsidRDefault="007D1DDC" w:rsidP="007D1DDC">
            <w:pPr>
              <w:pStyle w:val="TableParagraph"/>
              <w:spacing w:before="35"/>
              <w:ind w:left="385" w:right="566"/>
              <w:rPr>
                <w:rFonts w:asciiTheme="minorHAnsi" w:hAnsiTheme="minorHAnsi" w:cstheme="minorHAnsi"/>
                <w:b/>
                <w:bCs/>
                <w:w w:val="115"/>
                <w:sz w:val="24"/>
              </w:rPr>
            </w:pPr>
          </w:p>
        </w:tc>
        <w:tc>
          <w:tcPr>
            <w:tcW w:w="1134" w:type="dxa"/>
            <w:shd w:val="clear" w:color="auto" w:fill="auto"/>
          </w:tcPr>
          <w:p w14:paraId="1D6C54B5" w14:textId="77777777" w:rsidR="007D1DDC" w:rsidRPr="000D3966" w:rsidRDefault="007D1DDC" w:rsidP="007D1DDC">
            <w:pPr>
              <w:pStyle w:val="TableParagraph"/>
              <w:spacing w:before="36"/>
              <w:ind w:right="391"/>
              <w:jc w:val="right"/>
              <w:rPr>
                <w:rFonts w:asciiTheme="minorHAnsi" w:hAnsiTheme="minorHAnsi" w:cstheme="minorHAnsi"/>
                <w:w w:val="110"/>
                <w:sz w:val="24"/>
              </w:rPr>
            </w:pPr>
          </w:p>
        </w:tc>
        <w:tc>
          <w:tcPr>
            <w:tcW w:w="2268" w:type="dxa"/>
            <w:shd w:val="clear" w:color="auto" w:fill="auto"/>
            <w:vAlign w:val="center"/>
          </w:tcPr>
          <w:p w14:paraId="5FFA5A86" w14:textId="77777777" w:rsidR="007D1DDC" w:rsidRPr="00DF601D" w:rsidRDefault="007D1DDC" w:rsidP="007D1DDC">
            <w:pPr>
              <w:pStyle w:val="TableParagraph"/>
              <w:spacing w:before="36"/>
              <w:ind w:right="391"/>
              <w:jc w:val="right"/>
              <w:rPr>
                <w:rFonts w:asciiTheme="minorHAnsi" w:hAnsiTheme="minorHAnsi" w:cs="AcuminVariableConcept"/>
                <w:b/>
                <w:bCs/>
                <w:color w:val="2C2D35"/>
                <w:sz w:val="24"/>
                <w:szCs w:val="24"/>
              </w:rPr>
            </w:pPr>
          </w:p>
        </w:tc>
        <w:tc>
          <w:tcPr>
            <w:tcW w:w="2268" w:type="dxa"/>
            <w:shd w:val="clear" w:color="auto" w:fill="auto"/>
            <w:vAlign w:val="center"/>
          </w:tcPr>
          <w:p w14:paraId="226FBE6B" w14:textId="77777777" w:rsidR="007D1DDC" w:rsidRPr="00DF601D" w:rsidRDefault="007D1DDC" w:rsidP="007D1DDC">
            <w:pPr>
              <w:pStyle w:val="TableParagraph"/>
              <w:spacing w:before="37"/>
              <w:ind w:right="583"/>
              <w:jc w:val="right"/>
              <w:rPr>
                <w:rFonts w:asciiTheme="minorHAnsi" w:hAnsiTheme="minorHAnsi" w:cs="AcuminVariableConcept"/>
                <w:b/>
                <w:bCs/>
                <w:color w:val="2C2D35"/>
                <w:sz w:val="24"/>
                <w:szCs w:val="24"/>
              </w:rPr>
            </w:pPr>
          </w:p>
        </w:tc>
      </w:tr>
      <w:tr w:rsidR="007D1DDC" w:rsidRPr="00B2121F" w14:paraId="6E28F3B2" w14:textId="77777777" w:rsidTr="00DF601D">
        <w:trPr>
          <w:trHeight w:val="454"/>
        </w:trPr>
        <w:tc>
          <w:tcPr>
            <w:tcW w:w="4673" w:type="dxa"/>
            <w:shd w:val="clear" w:color="auto" w:fill="auto"/>
            <w:vAlign w:val="center"/>
          </w:tcPr>
          <w:p w14:paraId="0B063F55" w14:textId="5E9999E0" w:rsidR="007D1DDC" w:rsidRDefault="007D1DDC" w:rsidP="007D1DDC">
            <w:pPr>
              <w:pStyle w:val="TableParagraph"/>
              <w:spacing w:before="35"/>
              <w:ind w:left="385" w:right="566"/>
              <w:rPr>
                <w:rFonts w:asciiTheme="minorHAnsi" w:hAnsiTheme="minorHAnsi" w:cstheme="minorHAnsi"/>
                <w:b/>
                <w:bCs/>
                <w:w w:val="115"/>
                <w:sz w:val="24"/>
              </w:rPr>
            </w:pPr>
            <w:r w:rsidRPr="00DF601D">
              <w:rPr>
                <w:rFonts w:asciiTheme="minorHAnsi" w:hAnsiTheme="minorHAnsi" w:cstheme="minorHAnsi"/>
                <w:b/>
                <w:bCs/>
                <w:w w:val="115"/>
                <w:sz w:val="24"/>
              </w:rPr>
              <w:t>Members’ Funds</w:t>
            </w:r>
          </w:p>
        </w:tc>
        <w:tc>
          <w:tcPr>
            <w:tcW w:w="1134" w:type="dxa"/>
            <w:shd w:val="clear" w:color="auto" w:fill="auto"/>
          </w:tcPr>
          <w:p w14:paraId="09B84D24" w14:textId="77777777" w:rsidR="007D1DDC" w:rsidRPr="000D3966" w:rsidRDefault="007D1DDC" w:rsidP="007D1DDC">
            <w:pPr>
              <w:pStyle w:val="TableParagraph"/>
              <w:spacing w:before="36"/>
              <w:ind w:right="391"/>
              <w:jc w:val="right"/>
              <w:rPr>
                <w:rFonts w:asciiTheme="minorHAnsi" w:hAnsiTheme="minorHAnsi" w:cstheme="minorHAnsi"/>
                <w:w w:val="110"/>
                <w:sz w:val="24"/>
              </w:rPr>
            </w:pPr>
          </w:p>
        </w:tc>
        <w:tc>
          <w:tcPr>
            <w:tcW w:w="2268" w:type="dxa"/>
            <w:shd w:val="clear" w:color="auto" w:fill="auto"/>
            <w:vAlign w:val="center"/>
          </w:tcPr>
          <w:p w14:paraId="7E740676" w14:textId="77777777" w:rsidR="007D1DDC" w:rsidRPr="00DF601D" w:rsidRDefault="007D1DDC" w:rsidP="007D1DDC">
            <w:pPr>
              <w:pStyle w:val="TableParagraph"/>
              <w:spacing w:before="36"/>
              <w:ind w:right="391"/>
              <w:jc w:val="right"/>
              <w:rPr>
                <w:rFonts w:asciiTheme="minorHAnsi" w:hAnsiTheme="minorHAnsi" w:cs="AcuminVariableConcept"/>
                <w:b/>
                <w:bCs/>
                <w:color w:val="2C2D35"/>
                <w:sz w:val="24"/>
                <w:szCs w:val="24"/>
              </w:rPr>
            </w:pPr>
          </w:p>
        </w:tc>
        <w:tc>
          <w:tcPr>
            <w:tcW w:w="2268" w:type="dxa"/>
            <w:shd w:val="clear" w:color="auto" w:fill="auto"/>
            <w:vAlign w:val="center"/>
          </w:tcPr>
          <w:p w14:paraId="4428D966" w14:textId="77777777" w:rsidR="007D1DDC" w:rsidRPr="00DF601D" w:rsidRDefault="007D1DDC" w:rsidP="007D1DDC">
            <w:pPr>
              <w:pStyle w:val="TableParagraph"/>
              <w:spacing w:before="37"/>
              <w:ind w:right="583"/>
              <w:jc w:val="right"/>
              <w:rPr>
                <w:rFonts w:asciiTheme="minorHAnsi" w:hAnsiTheme="minorHAnsi" w:cs="AcuminVariableConcept"/>
                <w:b/>
                <w:bCs/>
                <w:color w:val="2C2D35"/>
                <w:sz w:val="24"/>
                <w:szCs w:val="24"/>
              </w:rPr>
            </w:pPr>
          </w:p>
        </w:tc>
      </w:tr>
      <w:tr w:rsidR="007D1DDC" w:rsidRPr="00B2121F" w14:paraId="017E9CEE" w14:textId="77777777" w:rsidTr="00DF601D">
        <w:trPr>
          <w:trHeight w:val="454"/>
        </w:trPr>
        <w:tc>
          <w:tcPr>
            <w:tcW w:w="4673" w:type="dxa"/>
            <w:shd w:val="clear" w:color="auto" w:fill="auto"/>
            <w:vAlign w:val="center"/>
          </w:tcPr>
          <w:p w14:paraId="1A5DEEB8" w14:textId="1D8BE45A" w:rsidR="007D1DDC" w:rsidRPr="00DF601D" w:rsidRDefault="007D1DDC" w:rsidP="007D1DDC">
            <w:pPr>
              <w:pStyle w:val="TableParagraph"/>
              <w:spacing w:before="35"/>
              <w:ind w:left="709" w:right="566"/>
              <w:rPr>
                <w:rFonts w:asciiTheme="minorHAnsi" w:hAnsiTheme="minorHAnsi" w:cstheme="minorHAnsi"/>
                <w:w w:val="115"/>
                <w:sz w:val="24"/>
              </w:rPr>
            </w:pPr>
            <w:r w:rsidRPr="00DF601D">
              <w:rPr>
                <w:rFonts w:asciiTheme="minorHAnsi" w:hAnsiTheme="minorHAnsi" w:cstheme="minorHAnsi"/>
                <w:w w:val="115"/>
                <w:sz w:val="24"/>
              </w:rPr>
              <w:t>Accumulated surplus brought forward</w:t>
            </w:r>
          </w:p>
        </w:tc>
        <w:tc>
          <w:tcPr>
            <w:tcW w:w="1134" w:type="dxa"/>
            <w:shd w:val="clear" w:color="auto" w:fill="auto"/>
          </w:tcPr>
          <w:p w14:paraId="209BD559" w14:textId="58E43530" w:rsidR="007D1DDC" w:rsidRPr="000D3966" w:rsidRDefault="007D1DDC" w:rsidP="007D1DDC">
            <w:pPr>
              <w:pStyle w:val="TableParagraph"/>
              <w:spacing w:before="36"/>
              <w:ind w:right="391"/>
              <w:jc w:val="right"/>
              <w:rPr>
                <w:rFonts w:asciiTheme="minorHAnsi" w:hAnsiTheme="minorHAnsi" w:cstheme="minorHAnsi"/>
                <w:w w:val="110"/>
                <w:sz w:val="24"/>
              </w:rPr>
            </w:pPr>
            <w:r>
              <w:rPr>
                <w:rFonts w:asciiTheme="minorHAnsi" w:hAnsiTheme="minorHAnsi" w:cstheme="minorHAnsi"/>
                <w:w w:val="110"/>
                <w:sz w:val="24"/>
              </w:rPr>
              <w:t>13</w:t>
            </w:r>
          </w:p>
        </w:tc>
        <w:tc>
          <w:tcPr>
            <w:tcW w:w="2268" w:type="dxa"/>
            <w:shd w:val="clear" w:color="auto" w:fill="auto"/>
            <w:vAlign w:val="center"/>
          </w:tcPr>
          <w:p w14:paraId="15547C45" w14:textId="4F3ACF72" w:rsidR="007D1DDC" w:rsidRPr="00DF601D" w:rsidRDefault="007D1DDC" w:rsidP="007D1DDC">
            <w:pPr>
              <w:pStyle w:val="TableParagraph"/>
              <w:spacing w:before="36"/>
              <w:ind w:right="391"/>
              <w:jc w:val="right"/>
              <w:rPr>
                <w:rFonts w:asciiTheme="minorHAnsi" w:hAnsiTheme="minorHAnsi" w:cs="AcuminVariableConcept"/>
                <w:b/>
                <w:bCs/>
                <w:color w:val="2C2D35"/>
                <w:sz w:val="24"/>
                <w:szCs w:val="24"/>
              </w:rPr>
            </w:pPr>
            <w:r>
              <w:rPr>
                <w:rFonts w:ascii="AcuminVariableConcept" w:hAnsi="AcuminVariableConcept" w:cs="AcuminVariableConcept"/>
                <w:color w:val="2C2D35"/>
                <w:sz w:val="24"/>
                <w:szCs w:val="24"/>
              </w:rPr>
              <w:t>863,306</w:t>
            </w:r>
          </w:p>
        </w:tc>
        <w:tc>
          <w:tcPr>
            <w:tcW w:w="2268" w:type="dxa"/>
            <w:shd w:val="clear" w:color="auto" w:fill="auto"/>
            <w:vAlign w:val="center"/>
          </w:tcPr>
          <w:p w14:paraId="65301ABC" w14:textId="25033D8C" w:rsidR="007D1DDC" w:rsidRPr="00DF601D" w:rsidRDefault="007D1DDC" w:rsidP="007D1DDC">
            <w:pPr>
              <w:pStyle w:val="TableParagraph"/>
              <w:spacing w:before="37"/>
              <w:ind w:right="583"/>
              <w:jc w:val="right"/>
              <w:rPr>
                <w:rFonts w:asciiTheme="minorHAnsi" w:hAnsiTheme="minorHAnsi" w:cs="AcuminVariableConcept"/>
                <w:b/>
                <w:bCs/>
                <w:color w:val="2C2D35"/>
                <w:sz w:val="24"/>
                <w:szCs w:val="24"/>
              </w:rPr>
            </w:pPr>
            <w:r>
              <w:rPr>
                <w:rFonts w:ascii="AcuminVariableConcept" w:hAnsi="AcuminVariableConcept" w:cs="AcuminVariableConcept"/>
                <w:color w:val="2C2D35"/>
                <w:sz w:val="24"/>
                <w:szCs w:val="24"/>
              </w:rPr>
              <w:t>929,133</w:t>
            </w:r>
          </w:p>
        </w:tc>
      </w:tr>
      <w:tr w:rsidR="007D1DDC" w:rsidRPr="00B2121F" w14:paraId="60046AD9" w14:textId="77777777" w:rsidTr="00DF601D">
        <w:trPr>
          <w:trHeight w:val="454"/>
        </w:trPr>
        <w:tc>
          <w:tcPr>
            <w:tcW w:w="4673" w:type="dxa"/>
            <w:shd w:val="clear" w:color="auto" w:fill="auto"/>
            <w:vAlign w:val="center"/>
          </w:tcPr>
          <w:p w14:paraId="5CF2E7A1" w14:textId="191918AD" w:rsidR="007D1DDC" w:rsidRPr="00DF601D" w:rsidRDefault="007D1DDC" w:rsidP="007D1DDC">
            <w:pPr>
              <w:pStyle w:val="TableParagraph"/>
              <w:spacing w:before="35"/>
              <w:ind w:left="709" w:right="566"/>
              <w:rPr>
                <w:rFonts w:asciiTheme="minorHAnsi" w:hAnsiTheme="minorHAnsi" w:cstheme="minorHAnsi"/>
                <w:w w:val="115"/>
                <w:sz w:val="24"/>
              </w:rPr>
            </w:pPr>
            <w:r w:rsidRPr="00DF601D">
              <w:rPr>
                <w:rFonts w:asciiTheme="minorHAnsi" w:hAnsiTheme="minorHAnsi" w:cstheme="minorHAnsi"/>
                <w:w w:val="115"/>
                <w:sz w:val="24"/>
              </w:rPr>
              <w:t>Surplus/(Deficit) This Year</w:t>
            </w:r>
          </w:p>
        </w:tc>
        <w:tc>
          <w:tcPr>
            <w:tcW w:w="1134" w:type="dxa"/>
            <w:shd w:val="clear" w:color="auto" w:fill="auto"/>
          </w:tcPr>
          <w:p w14:paraId="6DACFEBA" w14:textId="77777777" w:rsidR="007D1DDC" w:rsidRPr="000D3966" w:rsidRDefault="007D1DDC" w:rsidP="007D1DDC">
            <w:pPr>
              <w:pStyle w:val="TableParagraph"/>
              <w:spacing w:before="36"/>
              <w:ind w:right="391"/>
              <w:jc w:val="right"/>
              <w:rPr>
                <w:rFonts w:asciiTheme="minorHAnsi" w:hAnsiTheme="minorHAnsi" w:cstheme="minorHAnsi"/>
                <w:w w:val="110"/>
                <w:sz w:val="24"/>
              </w:rPr>
            </w:pPr>
          </w:p>
        </w:tc>
        <w:tc>
          <w:tcPr>
            <w:tcW w:w="2268" w:type="dxa"/>
            <w:shd w:val="clear" w:color="auto" w:fill="auto"/>
            <w:vAlign w:val="center"/>
          </w:tcPr>
          <w:p w14:paraId="20B50D59" w14:textId="666785B8" w:rsidR="007D1DDC" w:rsidRPr="00DF601D" w:rsidRDefault="007D1DDC" w:rsidP="007D1DDC">
            <w:pPr>
              <w:pStyle w:val="TableParagraph"/>
              <w:spacing w:before="36"/>
              <w:ind w:right="391"/>
              <w:jc w:val="right"/>
              <w:rPr>
                <w:rFonts w:asciiTheme="minorHAnsi" w:hAnsiTheme="minorHAnsi" w:cs="AcuminVariableConcept"/>
                <w:b/>
                <w:bCs/>
                <w:color w:val="2C2D35"/>
                <w:sz w:val="24"/>
                <w:szCs w:val="24"/>
              </w:rPr>
            </w:pPr>
            <w:r>
              <w:rPr>
                <w:rFonts w:ascii="AcuminVariableConcept" w:hAnsi="AcuminVariableConcept" w:cs="AcuminVariableConcept"/>
                <w:color w:val="2C2D35"/>
                <w:sz w:val="24"/>
                <w:szCs w:val="24"/>
              </w:rPr>
              <w:t>133,882</w:t>
            </w:r>
          </w:p>
        </w:tc>
        <w:tc>
          <w:tcPr>
            <w:tcW w:w="2268" w:type="dxa"/>
            <w:shd w:val="clear" w:color="auto" w:fill="auto"/>
            <w:vAlign w:val="center"/>
          </w:tcPr>
          <w:p w14:paraId="5CCDD8D6" w14:textId="6A62DA57" w:rsidR="007D1DDC" w:rsidRPr="00DF601D" w:rsidRDefault="007D1DDC" w:rsidP="007D1DDC">
            <w:pPr>
              <w:pStyle w:val="TableParagraph"/>
              <w:spacing w:before="37"/>
              <w:ind w:right="583"/>
              <w:jc w:val="right"/>
              <w:rPr>
                <w:rFonts w:asciiTheme="minorHAnsi" w:hAnsiTheme="minorHAnsi" w:cs="AcuminVariableConcept"/>
                <w:b/>
                <w:bCs/>
                <w:color w:val="2C2D35"/>
                <w:sz w:val="24"/>
                <w:szCs w:val="24"/>
              </w:rPr>
            </w:pPr>
            <w:r>
              <w:rPr>
                <w:rFonts w:ascii="AcuminVariableConcept" w:hAnsi="AcuminVariableConcept" w:cs="AcuminVariableConcept"/>
                <w:color w:val="2C2D35"/>
                <w:sz w:val="24"/>
                <w:szCs w:val="24"/>
              </w:rPr>
              <w:t>(65,827)</w:t>
            </w:r>
          </w:p>
        </w:tc>
      </w:tr>
      <w:tr w:rsidR="007D1DDC" w:rsidRPr="00B2121F" w14:paraId="5EC017C7" w14:textId="77777777" w:rsidTr="00B81306">
        <w:trPr>
          <w:trHeight w:val="454"/>
        </w:trPr>
        <w:tc>
          <w:tcPr>
            <w:tcW w:w="4673" w:type="dxa"/>
            <w:shd w:val="clear" w:color="auto" w:fill="D6EAF4"/>
            <w:vAlign w:val="center"/>
          </w:tcPr>
          <w:p w14:paraId="5CAA89B8" w14:textId="594F141F" w:rsidR="007D1DDC" w:rsidRDefault="007D1DDC" w:rsidP="007D1DDC">
            <w:pPr>
              <w:pStyle w:val="TableParagraph"/>
              <w:spacing w:before="35"/>
              <w:ind w:left="385" w:right="566"/>
              <w:rPr>
                <w:rFonts w:asciiTheme="minorHAnsi" w:hAnsiTheme="minorHAnsi" w:cstheme="minorHAnsi"/>
                <w:b/>
                <w:bCs/>
                <w:w w:val="115"/>
                <w:sz w:val="24"/>
              </w:rPr>
            </w:pPr>
            <w:r w:rsidRPr="00DF601D">
              <w:rPr>
                <w:rFonts w:asciiTheme="minorHAnsi" w:hAnsiTheme="minorHAnsi" w:cstheme="minorHAnsi"/>
                <w:b/>
                <w:bCs/>
                <w:w w:val="115"/>
                <w:sz w:val="24"/>
              </w:rPr>
              <w:t>Total Members’ Funds</w:t>
            </w:r>
          </w:p>
        </w:tc>
        <w:tc>
          <w:tcPr>
            <w:tcW w:w="1134" w:type="dxa"/>
            <w:shd w:val="clear" w:color="auto" w:fill="D6EAF4"/>
          </w:tcPr>
          <w:p w14:paraId="15723608" w14:textId="77777777" w:rsidR="007D1DDC" w:rsidRPr="000D3966" w:rsidRDefault="007D1DDC" w:rsidP="007D1DDC">
            <w:pPr>
              <w:pStyle w:val="TableParagraph"/>
              <w:spacing w:before="36"/>
              <w:ind w:right="391"/>
              <w:jc w:val="right"/>
              <w:rPr>
                <w:rFonts w:asciiTheme="minorHAnsi" w:hAnsiTheme="minorHAnsi" w:cstheme="minorHAnsi"/>
                <w:w w:val="110"/>
                <w:sz w:val="24"/>
              </w:rPr>
            </w:pPr>
          </w:p>
        </w:tc>
        <w:tc>
          <w:tcPr>
            <w:tcW w:w="2268" w:type="dxa"/>
            <w:shd w:val="clear" w:color="auto" w:fill="D6EAF4"/>
            <w:vAlign w:val="center"/>
          </w:tcPr>
          <w:p w14:paraId="598F90BE" w14:textId="778C5CA1" w:rsidR="007D1DDC" w:rsidRPr="007D1DDC" w:rsidRDefault="007D1DDC" w:rsidP="007D1DDC">
            <w:pPr>
              <w:pStyle w:val="TableParagraph"/>
              <w:spacing w:before="36"/>
              <w:ind w:right="391"/>
              <w:jc w:val="right"/>
              <w:rPr>
                <w:rFonts w:asciiTheme="minorHAnsi" w:hAnsiTheme="minorHAnsi" w:cs="AcuminVariableConcept"/>
                <w:b/>
                <w:bCs/>
                <w:color w:val="2C2D35"/>
                <w:sz w:val="24"/>
                <w:szCs w:val="24"/>
              </w:rPr>
            </w:pPr>
            <w:r w:rsidRPr="007D1DDC">
              <w:rPr>
                <w:rFonts w:ascii="AcuminVariableConcept" w:hAnsi="AcuminVariableConcept" w:cs="AcuminVariableConcept"/>
                <w:b/>
                <w:bCs/>
                <w:color w:val="2C2D35"/>
                <w:sz w:val="24"/>
                <w:szCs w:val="24"/>
              </w:rPr>
              <w:t>997,188</w:t>
            </w:r>
          </w:p>
        </w:tc>
        <w:tc>
          <w:tcPr>
            <w:tcW w:w="2268" w:type="dxa"/>
            <w:shd w:val="clear" w:color="auto" w:fill="D6EAF4"/>
            <w:vAlign w:val="center"/>
          </w:tcPr>
          <w:p w14:paraId="73B0BFEF" w14:textId="72B56267" w:rsidR="007D1DDC" w:rsidRPr="007D1DDC" w:rsidRDefault="007D1DDC" w:rsidP="007D1DDC">
            <w:pPr>
              <w:pStyle w:val="TableParagraph"/>
              <w:spacing w:before="37"/>
              <w:ind w:right="583"/>
              <w:jc w:val="right"/>
              <w:rPr>
                <w:rFonts w:asciiTheme="minorHAnsi" w:hAnsiTheme="minorHAnsi" w:cs="AcuminVariableConcept"/>
                <w:b/>
                <w:bCs/>
                <w:color w:val="2C2D35"/>
                <w:sz w:val="24"/>
                <w:szCs w:val="24"/>
              </w:rPr>
            </w:pPr>
            <w:r w:rsidRPr="007D1DDC">
              <w:rPr>
                <w:rFonts w:ascii="AcuminVariableConcept" w:hAnsi="AcuminVariableConcept" w:cs="AcuminVariableConcept"/>
                <w:b/>
                <w:bCs/>
                <w:color w:val="2C2D35"/>
                <w:sz w:val="24"/>
                <w:szCs w:val="24"/>
              </w:rPr>
              <w:t>863,306</w:t>
            </w:r>
          </w:p>
        </w:tc>
      </w:tr>
    </w:tbl>
    <w:p w14:paraId="2343997E" w14:textId="49C3C426" w:rsidR="00F1638E" w:rsidRDefault="00F1638E" w:rsidP="00F1638E">
      <w:pPr>
        <w:pStyle w:val="BodyText"/>
        <w:spacing w:before="3"/>
        <w:rPr>
          <w:rFonts w:asciiTheme="minorHAnsi" w:hAnsiTheme="minorHAnsi" w:cstheme="minorHAnsi"/>
          <w:sz w:val="25"/>
        </w:rPr>
      </w:pPr>
    </w:p>
    <w:p w14:paraId="7648CC4E" w14:textId="2957E807" w:rsidR="007D1DDC" w:rsidRDefault="00DF601D" w:rsidP="00DF601D">
      <w:pPr>
        <w:pStyle w:val="body"/>
      </w:pPr>
      <w:r w:rsidRPr="00DF601D">
        <w:t>This Statement should be read in conjunction with the Notes to the Accounts.</w:t>
      </w:r>
    </w:p>
    <w:p w14:paraId="2C6D1B80" w14:textId="77777777" w:rsidR="007D1DDC" w:rsidRDefault="007D1DDC">
      <w:pPr>
        <w:rPr>
          <w:rFonts w:cstheme="minorHAnsi"/>
          <w:color w:val="2C2D35"/>
          <w:spacing w:val="-2"/>
          <w:sz w:val="28"/>
          <w:szCs w:val="28"/>
          <w:lang w:val="en-GB"/>
        </w:rPr>
      </w:pPr>
      <w:r>
        <w:br w:type="page"/>
      </w:r>
    </w:p>
    <w:p w14:paraId="00F9EE43" w14:textId="33AB7596" w:rsidR="007D1DDC" w:rsidRDefault="007D1DDC" w:rsidP="00B81306">
      <w:pPr>
        <w:pStyle w:val="header1"/>
      </w:pPr>
      <w:bookmarkStart w:id="35" w:name="_Toc38622614"/>
      <w:r>
        <w:lastRenderedPageBreak/>
        <w:t>Our Board</w:t>
      </w:r>
      <w:bookmarkEnd w:id="35"/>
    </w:p>
    <w:p w14:paraId="0F362B94" w14:textId="77777777" w:rsidR="007D1DDC" w:rsidRDefault="007D1DDC" w:rsidP="007D1DDC">
      <w:pPr>
        <w:pStyle w:val="header2"/>
      </w:pPr>
      <w:bookmarkStart w:id="36" w:name="_Toc38622615"/>
      <w:r>
        <w:t>Brad Sadler, Chair</w:t>
      </w:r>
      <w:bookmarkEnd w:id="36"/>
    </w:p>
    <w:p w14:paraId="2C3278D3" w14:textId="77777777" w:rsidR="007D1DDC" w:rsidRDefault="007D1DDC" w:rsidP="007D1DDC">
      <w:pPr>
        <w:pStyle w:val="body"/>
      </w:pPr>
      <w:r>
        <w:t>Brad has an extensive history of senior executive management in local government, community, aged and disability services. He is the Founding Director of Dana Consulting and Director of Illuminate Yoga Studio, where he currently teaches yoga and meditation.</w:t>
      </w:r>
    </w:p>
    <w:p w14:paraId="27521480" w14:textId="77777777" w:rsidR="007D1DDC" w:rsidRDefault="007D1DDC" w:rsidP="007D1DDC">
      <w:pPr>
        <w:pStyle w:val="body"/>
      </w:pPr>
    </w:p>
    <w:p w14:paraId="12E94C88" w14:textId="77777777" w:rsidR="007D1DDC" w:rsidRDefault="007D1DDC" w:rsidP="007D1DDC">
      <w:pPr>
        <w:pStyle w:val="body"/>
      </w:pPr>
      <w:r>
        <w:t>Brad has been active in the arts as a musician, singer/chorister, performer and director in community-based theatre.</w:t>
      </w:r>
    </w:p>
    <w:p w14:paraId="1B29A6F5" w14:textId="77777777" w:rsidR="007D1DDC" w:rsidRDefault="007D1DDC" w:rsidP="007D1DDC">
      <w:pPr>
        <w:pStyle w:val="body"/>
      </w:pPr>
    </w:p>
    <w:p w14:paraId="27F6C0E9" w14:textId="77777777" w:rsidR="007D1DDC" w:rsidRDefault="007D1DDC" w:rsidP="007D1DDC">
      <w:pPr>
        <w:pStyle w:val="body"/>
      </w:pPr>
      <w:r>
        <w:t>Brad was appointed to the AAV Board in 2012 and has been the Chair since 2016.</w:t>
      </w:r>
    </w:p>
    <w:p w14:paraId="5D74BD25" w14:textId="77777777" w:rsidR="007D1DDC" w:rsidRDefault="007D1DDC" w:rsidP="007D1DDC">
      <w:pPr>
        <w:pStyle w:val="body"/>
      </w:pPr>
    </w:p>
    <w:p w14:paraId="62892CC6" w14:textId="77777777" w:rsidR="007D1DDC" w:rsidRDefault="007D1DDC" w:rsidP="007D1DDC">
      <w:pPr>
        <w:pStyle w:val="header2"/>
      </w:pPr>
      <w:bookmarkStart w:id="37" w:name="_Toc38622616"/>
      <w:r>
        <w:t xml:space="preserve">Peter </w:t>
      </w:r>
      <w:proofErr w:type="spellStart"/>
      <w:r>
        <w:t>Crowle</w:t>
      </w:r>
      <w:proofErr w:type="spellEnd"/>
      <w:r>
        <w:t>, Treasurer</w:t>
      </w:r>
      <w:bookmarkEnd w:id="37"/>
    </w:p>
    <w:p w14:paraId="43879D31" w14:textId="77777777" w:rsidR="007D1DDC" w:rsidRDefault="007D1DDC" w:rsidP="007D1DDC">
      <w:pPr>
        <w:pStyle w:val="body"/>
      </w:pPr>
      <w:r>
        <w:t>Peter is a Chartered Accountant and has financial experience across many industries, as well as international experience working in the UK.</w:t>
      </w:r>
    </w:p>
    <w:p w14:paraId="44A644E8" w14:textId="77777777" w:rsidR="007D1DDC" w:rsidRDefault="007D1DDC" w:rsidP="007D1DDC">
      <w:pPr>
        <w:pStyle w:val="body"/>
      </w:pPr>
    </w:p>
    <w:p w14:paraId="39AE4588" w14:textId="77777777" w:rsidR="007D1DDC" w:rsidRDefault="007D1DDC" w:rsidP="007D1DDC">
      <w:pPr>
        <w:pStyle w:val="body"/>
      </w:pPr>
      <w:r>
        <w:t>Since returning from the UK, he has worked at Cricket Australia to implement a new funding distribution model, and then moved to Origin Energy as a Finance Manager. Peter is currently Finance Manager at City Facilities Management.</w:t>
      </w:r>
    </w:p>
    <w:p w14:paraId="6DAE56A8" w14:textId="77777777" w:rsidR="007D1DDC" w:rsidRDefault="007D1DDC" w:rsidP="007D1DDC">
      <w:pPr>
        <w:pStyle w:val="body"/>
      </w:pPr>
    </w:p>
    <w:p w14:paraId="543F6C95" w14:textId="77777777" w:rsidR="007D1DDC" w:rsidRDefault="007D1DDC" w:rsidP="007D1DDC">
      <w:pPr>
        <w:pStyle w:val="body"/>
      </w:pPr>
      <w:r>
        <w:t>Peter was appointed to the AAV Board as Treasurer in 2014.</w:t>
      </w:r>
    </w:p>
    <w:p w14:paraId="1288491C" w14:textId="77777777" w:rsidR="007D1DDC" w:rsidRDefault="007D1DDC" w:rsidP="007D1DDC">
      <w:pPr>
        <w:pStyle w:val="body"/>
      </w:pPr>
    </w:p>
    <w:p w14:paraId="116977B0" w14:textId="77777777" w:rsidR="007D1DDC" w:rsidRDefault="007D1DDC" w:rsidP="007D1DDC">
      <w:pPr>
        <w:pStyle w:val="header2"/>
      </w:pPr>
      <w:bookmarkStart w:id="38" w:name="_Toc38622617"/>
      <w:r>
        <w:t>Amanda Lawrie-Jones</w:t>
      </w:r>
      <w:bookmarkEnd w:id="38"/>
    </w:p>
    <w:p w14:paraId="16215D7A" w14:textId="77777777" w:rsidR="007D1DDC" w:rsidRDefault="007D1DDC" w:rsidP="007D1DDC">
      <w:pPr>
        <w:pStyle w:val="body"/>
      </w:pPr>
      <w:r>
        <w:t>Amanda Lawrie-Jones has lived experience of disability and is a skilled Disability Inclusion Consultant with decades of organisational capability experience. She manages her own business and has successfully created impact and meaningful change in both government and non-government sectors.</w:t>
      </w:r>
    </w:p>
    <w:p w14:paraId="190BD030" w14:textId="77777777" w:rsidR="007D1DDC" w:rsidRDefault="007D1DDC" w:rsidP="007D1DDC">
      <w:pPr>
        <w:pStyle w:val="body"/>
      </w:pPr>
    </w:p>
    <w:p w14:paraId="753E841F" w14:textId="77777777" w:rsidR="007D1DDC" w:rsidRDefault="007D1DDC" w:rsidP="007D1DDC">
      <w:pPr>
        <w:pStyle w:val="body"/>
      </w:pPr>
      <w:r>
        <w:t>In 2018, Amanda was a finalist in the National Awards for Disability Leadership in the category of ‘Change Making’.</w:t>
      </w:r>
    </w:p>
    <w:p w14:paraId="7A5F8C6C" w14:textId="77777777" w:rsidR="007D1DDC" w:rsidRDefault="007D1DDC" w:rsidP="007D1DDC">
      <w:pPr>
        <w:pStyle w:val="body"/>
      </w:pPr>
    </w:p>
    <w:p w14:paraId="3E9B127B" w14:textId="77777777" w:rsidR="007D1DDC" w:rsidRDefault="007D1DDC" w:rsidP="007D1DDC">
      <w:pPr>
        <w:pStyle w:val="body"/>
      </w:pPr>
      <w:r>
        <w:t>Amanda was appointed to the AAV Board in 2018.</w:t>
      </w:r>
    </w:p>
    <w:p w14:paraId="01BFD1BE" w14:textId="77777777" w:rsidR="007D1DDC" w:rsidRDefault="007D1DDC" w:rsidP="007D1DDC">
      <w:pPr>
        <w:pStyle w:val="body"/>
      </w:pPr>
    </w:p>
    <w:p w14:paraId="36DE1A06" w14:textId="77777777" w:rsidR="007D1DDC" w:rsidRDefault="007D1DDC" w:rsidP="007D1DDC">
      <w:pPr>
        <w:pStyle w:val="header2"/>
      </w:pPr>
      <w:bookmarkStart w:id="39" w:name="_Toc38622618"/>
      <w:r>
        <w:t>Kate Hood</w:t>
      </w:r>
      <w:bookmarkEnd w:id="39"/>
    </w:p>
    <w:p w14:paraId="01993446" w14:textId="77777777" w:rsidR="007D1DDC" w:rsidRDefault="007D1DDC" w:rsidP="007D1DDC">
      <w:pPr>
        <w:pStyle w:val="body"/>
      </w:pPr>
      <w:r>
        <w:t>Kate Hood became a wheelchair user over a decade ago and reinvented herself as a disabled actor and theatre maker.</w:t>
      </w:r>
    </w:p>
    <w:p w14:paraId="6D770E9C" w14:textId="77777777" w:rsidR="007D1DDC" w:rsidRDefault="007D1DDC" w:rsidP="007D1DDC">
      <w:pPr>
        <w:pStyle w:val="body"/>
      </w:pPr>
    </w:p>
    <w:p w14:paraId="0B7864D2" w14:textId="77777777" w:rsidR="007D1DDC" w:rsidRDefault="007D1DDC" w:rsidP="007D1DDC">
      <w:pPr>
        <w:pStyle w:val="body"/>
      </w:pPr>
      <w:r>
        <w:t>She formed her disability-led theatre company, Raspberry Ripple Productions, as a response to the invisibility of disabled actors, writers and theatre makers across our stages and screens. Raspberry Ripple’s remit is to tell stories of disabled and non-disabled people living in the world together.</w:t>
      </w:r>
    </w:p>
    <w:p w14:paraId="24C08BC1" w14:textId="77777777" w:rsidR="007D1DDC" w:rsidRDefault="007D1DDC" w:rsidP="007D1DDC">
      <w:pPr>
        <w:pStyle w:val="body"/>
      </w:pPr>
    </w:p>
    <w:p w14:paraId="09BE3F30" w14:textId="77777777" w:rsidR="007D1DDC" w:rsidRDefault="007D1DDC" w:rsidP="007D1DDC">
      <w:pPr>
        <w:pStyle w:val="body"/>
      </w:pPr>
      <w:r>
        <w:t>Kate was appointed to the AAV Board in 2016.</w:t>
      </w:r>
    </w:p>
    <w:p w14:paraId="5E9DEAC5" w14:textId="77777777" w:rsidR="007D1DDC" w:rsidRDefault="007D1DDC" w:rsidP="007D1DDC">
      <w:pPr>
        <w:pStyle w:val="body"/>
      </w:pPr>
    </w:p>
    <w:p w14:paraId="6B446A05" w14:textId="77777777" w:rsidR="007D1DDC" w:rsidRDefault="007D1DDC" w:rsidP="007D1DDC">
      <w:pPr>
        <w:pStyle w:val="header2"/>
      </w:pPr>
      <w:bookmarkStart w:id="40" w:name="_Toc38622619"/>
      <w:r>
        <w:t>Kristy Spillman</w:t>
      </w:r>
      <w:bookmarkEnd w:id="40"/>
    </w:p>
    <w:p w14:paraId="3AA43595" w14:textId="77777777" w:rsidR="007D1DDC" w:rsidRDefault="007D1DDC" w:rsidP="007D1DDC">
      <w:pPr>
        <w:pStyle w:val="body"/>
      </w:pPr>
      <w:r>
        <w:t>Kristy is a public policy expert, predominantly in health and education. She is passionate about community participation and empowerment as drivers of health and well-being.</w:t>
      </w:r>
    </w:p>
    <w:p w14:paraId="48A86108" w14:textId="77777777" w:rsidR="007D1DDC" w:rsidRDefault="007D1DDC" w:rsidP="007D1DDC">
      <w:pPr>
        <w:pStyle w:val="body"/>
      </w:pPr>
    </w:p>
    <w:p w14:paraId="7E9F49D1" w14:textId="77777777" w:rsidR="007D1DDC" w:rsidRDefault="007D1DDC" w:rsidP="007D1DDC">
      <w:pPr>
        <w:pStyle w:val="body"/>
      </w:pPr>
      <w:r>
        <w:t>As Assistant Director, Governance at Department of Health and Human Services, Kristy’s focus</w:t>
      </w:r>
    </w:p>
    <w:p w14:paraId="3FDFD5EE" w14:textId="77777777" w:rsidR="007D1DDC" w:rsidRDefault="007D1DDC" w:rsidP="007D1DDC">
      <w:pPr>
        <w:pStyle w:val="body"/>
      </w:pPr>
      <w:r>
        <w:t>is on building the capability and diversity of Victoria’s public health service boards to enable delivery of safe, high quality services.</w:t>
      </w:r>
    </w:p>
    <w:p w14:paraId="091EE0CF" w14:textId="77777777" w:rsidR="007D1DDC" w:rsidRDefault="007D1DDC" w:rsidP="007D1DDC">
      <w:pPr>
        <w:pStyle w:val="body"/>
      </w:pPr>
    </w:p>
    <w:p w14:paraId="00A31469" w14:textId="77777777" w:rsidR="007D1DDC" w:rsidRDefault="007D1DDC" w:rsidP="007D1DDC">
      <w:pPr>
        <w:pStyle w:val="body"/>
      </w:pPr>
      <w:r>
        <w:t>Kristy was appointed to the AAV Board in 2016.</w:t>
      </w:r>
    </w:p>
    <w:p w14:paraId="7B3D0EEB" w14:textId="77777777" w:rsidR="007D1DDC" w:rsidRDefault="007D1DDC" w:rsidP="007D1DDC">
      <w:pPr>
        <w:pStyle w:val="body"/>
      </w:pPr>
    </w:p>
    <w:p w14:paraId="70725729" w14:textId="77777777" w:rsidR="007D1DDC" w:rsidRDefault="007D1DDC" w:rsidP="007D1DDC">
      <w:pPr>
        <w:pStyle w:val="header2"/>
      </w:pPr>
      <w:bookmarkStart w:id="41" w:name="_Toc38622620"/>
      <w:r>
        <w:t>Luke King</w:t>
      </w:r>
      <w:bookmarkEnd w:id="41"/>
    </w:p>
    <w:p w14:paraId="6D86C198" w14:textId="77777777" w:rsidR="007D1DDC" w:rsidRDefault="007D1DDC" w:rsidP="007D1DDC">
      <w:pPr>
        <w:pStyle w:val="body"/>
      </w:pPr>
      <w:r>
        <w:t>Luke Duncan King is a visual artist currently working at the National Gallery of Victoria (NGV) as a museum educator leading public and school tours.</w:t>
      </w:r>
    </w:p>
    <w:p w14:paraId="65BDCE3E" w14:textId="77777777" w:rsidR="007D1DDC" w:rsidRDefault="007D1DDC" w:rsidP="007D1DDC">
      <w:pPr>
        <w:pStyle w:val="body"/>
      </w:pPr>
    </w:p>
    <w:p w14:paraId="3D9DFB43" w14:textId="77777777" w:rsidR="007D1DDC" w:rsidRDefault="007D1DDC" w:rsidP="007D1DDC">
      <w:pPr>
        <w:pStyle w:val="body"/>
      </w:pPr>
      <w:r>
        <w:lastRenderedPageBreak/>
        <w:t>He has a strong interest in all artforms, as well as a passion for improving accessibility for Deaf and hard of hearing people at museums, art galleries and both public and private/ independent art spaces.</w:t>
      </w:r>
    </w:p>
    <w:p w14:paraId="70BD11E7" w14:textId="77777777" w:rsidR="007D1DDC" w:rsidRDefault="007D1DDC" w:rsidP="007D1DDC">
      <w:pPr>
        <w:pStyle w:val="body"/>
      </w:pPr>
    </w:p>
    <w:p w14:paraId="2064BF95" w14:textId="77777777" w:rsidR="007D1DDC" w:rsidRDefault="007D1DDC" w:rsidP="007D1DDC">
      <w:pPr>
        <w:pStyle w:val="body"/>
      </w:pPr>
      <w:r>
        <w:t>Luke was appointed to the AAV Board in 2016.</w:t>
      </w:r>
    </w:p>
    <w:p w14:paraId="14C7F73B" w14:textId="77777777" w:rsidR="007D1DDC" w:rsidRDefault="007D1DDC" w:rsidP="007D1DDC">
      <w:pPr>
        <w:pStyle w:val="body"/>
      </w:pPr>
    </w:p>
    <w:p w14:paraId="566440F7" w14:textId="77777777" w:rsidR="007D1DDC" w:rsidRDefault="007D1DDC" w:rsidP="007D1DDC">
      <w:pPr>
        <w:pStyle w:val="header2"/>
      </w:pPr>
      <w:bookmarkStart w:id="42" w:name="_Toc38622621"/>
      <w:r>
        <w:t>Sonia Turnbull</w:t>
      </w:r>
      <w:bookmarkEnd w:id="42"/>
    </w:p>
    <w:p w14:paraId="5F1D15DA" w14:textId="77777777" w:rsidR="007D1DDC" w:rsidRDefault="007D1DDC" w:rsidP="007D1DDC">
      <w:pPr>
        <w:pStyle w:val="body"/>
      </w:pPr>
      <w:r>
        <w:t>Sonia has extensive experience as an arts administrator in the local government sector. She has managed the development of cultural facilities, facilitated public art projects, developed strategic arts and cultural plans and managed large-scale public events.</w:t>
      </w:r>
    </w:p>
    <w:p w14:paraId="79DC2907" w14:textId="77777777" w:rsidR="007D1DDC" w:rsidRDefault="007D1DDC" w:rsidP="007D1DDC">
      <w:pPr>
        <w:pStyle w:val="body"/>
      </w:pPr>
    </w:p>
    <w:p w14:paraId="0E1EF3C6" w14:textId="77777777" w:rsidR="007D1DDC" w:rsidRDefault="007D1DDC" w:rsidP="007D1DDC">
      <w:pPr>
        <w:pStyle w:val="body"/>
      </w:pPr>
      <w:r>
        <w:t>After the birth of Sonia’s daughter, she commenced a law degree in order to ensure, where possible, that her daughter was not discriminated against and had access to the schools and events of her choice.</w:t>
      </w:r>
    </w:p>
    <w:p w14:paraId="547A9AB7" w14:textId="77777777" w:rsidR="007D1DDC" w:rsidRDefault="007D1DDC" w:rsidP="007D1DDC">
      <w:pPr>
        <w:pStyle w:val="body"/>
      </w:pPr>
    </w:p>
    <w:p w14:paraId="7E8E49A0" w14:textId="77777777" w:rsidR="007D1DDC" w:rsidRDefault="007D1DDC" w:rsidP="007D1DDC">
      <w:pPr>
        <w:pStyle w:val="body"/>
      </w:pPr>
      <w:r>
        <w:t>Sonia is currently a practicing lawyer in State Government and has been on the AAV Board since 2017.</w:t>
      </w:r>
    </w:p>
    <w:p w14:paraId="5CD66E72" w14:textId="7F185C62" w:rsidR="007D1DDC" w:rsidRDefault="007D1DDC">
      <w:pPr>
        <w:rPr>
          <w:rFonts w:cstheme="minorHAnsi"/>
          <w:color w:val="2C2D35"/>
          <w:spacing w:val="-2"/>
          <w:sz w:val="28"/>
          <w:szCs w:val="28"/>
          <w:lang w:val="en-GB"/>
        </w:rPr>
      </w:pPr>
      <w:r>
        <w:br w:type="page"/>
      </w:r>
    </w:p>
    <w:p w14:paraId="7BDD4152" w14:textId="77777777" w:rsidR="007D1DDC" w:rsidRDefault="007D1DDC" w:rsidP="00B81306">
      <w:pPr>
        <w:pStyle w:val="header1"/>
      </w:pPr>
      <w:bookmarkStart w:id="43" w:name="_Toc38622622"/>
      <w:r>
        <w:lastRenderedPageBreak/>
        <w:t>Our supporters</w:t>
      </w:r>
      <w:bookmarkEnd w:id="43"/>
    </w:p>
    <w:p w14:paraId="49FF31D9" w14:textId="77777777" w:rsidR="007D1DDC" w:rsidRDefault="007D1DDC" w:rsidP="007D1DDC">
      <w:pPr>
        <w:pStyle w:val="header2"/>
      </w:pPr>
      <w:bookmarkStart w:id="44" w:name="_Toc38622623"/>
      <w:r>
        <w:t>We thank all our funders, partners and supporters for making possible AAV’s artistic and outreach activities in 2019.</w:t>
      </w:r>
      <w:bookmarkEnd w:id="44"/>
    </w:p>
    <w:p w14:paraId="5E283AA8" w14:textId="77777777" w:rsidR="007D1DDC" w:rsidRDefault="007D1DDC" w:rsidP="007D1DDC">
      <w:pPr>
        <w:pStyle w:val="body"/>
      </w:pPr>
    </w:p>
    <w:p w14:paraId="7984061E" w14:textId="77777777" w:rsidR="00B81306" w:rsidRDefault="00B81306" w:rsidP="007D1DDC">
      <w:pPr>
        <w:pStyle w:val="body"/>
        <w:sectPr w:rsidR="00B81306" w:rsidSect="001C7503">
          <w:headerReference w:type="default" r:id="rId15"/>
          <w:footerReference w:type="default" r:id="rId16"/>
          <w:headerReference w:type="first" r:id="rId17"/>
          <w:footerReference w:type="first" r:id="rId18"/>
          <w:type w:val="continuous"/>
          <w:pgSz w:w="11906" w:h="16838"/>
          <w:pgMar w:top="1985" w:right="849" w:bottom="1440" w:left="851" w:header="709" w:footer="709" w:gutter="0"/>
          <w:cols w:space="259"/>
          <w:titlePg/>
          <w:docGrid w:linePitch="360"/>
        </w:sectPr>
      </w:pPr>
    </w:p>
    <w:p w14:paraId="6C6E246B" w14:textId="10892CB0" w:rsidR="00B81306" w:rsidRDefault="007D1DDC" w:rsidP="007D1DDC">
      <w:pPr>
        <w:pStyle w:val="body"/>
      </w:pPr>
      <w:r>
        <w:t>Access Arts</w:t>
      </w:r>
    </w:p>
    <w:p w14:paraId="3FB49881" w14:textId="77777777" w:rsidR="00B81306" w:rsidRDefault="007D1DDC" w:rsidP="007D1DDC">
      <w:pPr>
        <w:pStyle w:val="body"/>
      </w:pPr>
      <w:r>
        <w:t>Access2Arts</w:t>
      </w:r>
    </w:p>
    <w:p w14:paraId="7817CC19" w14:textId="77777777" w:rsidR="00B81306" w:rsidRDefault="007D1DDC" w:rsidP="007D1DDC">
      <w:pPr>
        <w:pStyle w:val="body"/>
      </w:pPr>
      <w:r>
        <w:t>Accessible Action</w:t>
      </w:r>
    </w:p>
    <w:p w14:paraId="221B51D1" w14:textId="7BA4B099" w:rsidR="007D1DDC" w:rsidRDefault="007D1DDC" w:rsidP="007D1DDC">
      <w:pPr>
        <w:pStyle w:val="body"/>
      </w:pPr>
      <w:r>
        <w:t>Accessible Arts</w:t>
      </w:r>
    </w:p>
    <w:p w14:paraId="7E592E5D" w14:textId="77777777" w:rsidR="00B81306" w:rsidRDefault="007D1DDC" w:rsidP="007D1DDC">
      <w:pPr>
        <w:pStyle w:val="body"/>
      </w:pPr>
      <w:r>
        <w:t>Arts Access Australia</w:t>
      </w:r>
    </w:p>
    <w:p w14:paraId="7F919E4C" w14:textId="77777777" w:rsidR="00B81306" w:rsidRDefault="007D1DDC" w:rsidP="007D1DDC">
      <w:pPr>
        <w:pStyle w:val="body"/>
      </w:pPr>
      <w:r>
        <w:t>Arts Access Darwin</w:t>
      </w:r>
    </w:p>
    <w:p w14:paraId="5859348E" w14:textId="77777777" w:rsidR="00B81306" w:rsidRDefault="007D1DDC" w:rsidP="007D1DDC">
      <w:pPr>
        <w:pStyle w:val="body"/>
      </w:pPr>
      <w:r>
        <w:t>Arts Centre Melbourne</w:t>
      </w:r>
    </w:p>
    <w:p w14:paraId="590E04EE" w14:textId="77777777" w:rsidR="00B81306" w:rsidRDefault="007D1DDC" w:rsidP="007D1DDC">
      <w:pPr>
        <w:pStyle w:val="body"/>
      </w:pPr>
      <w:r>
        <w:t>Arts Learning Festival</w:t>
      </w:r>
    </w:p>
    <w:p w14:paraId="0D1E8609" w14:textId="0E6F25E9" w:rsidR="007D1DDC" w:rsidRDefault="007D1DDC" w:rsidP="007D1DDC">
      <w:pPr>
        <w:pStyle w:val="body"/>
      </w:pPr>
      <w:r>
        <w:t>Arts Queensland</w:t>
      </w:r>
    </w:p>
    <w:p w14:paraId="394623A1" w14:textId="77777777" w:rsidR="00B81306" w:rsidRDefault="007D1DDC" w:rsidP="007D1DDC">
      <w:pPr>
        <w:pStyle w:val="body"/>
      </w:pPr>
      <w:r>
        <w:t>Arts South Australia</w:t>
      </w:r>
    </w:p>
    <w:p w14:paraId="76909D44" w14:textId="77777777" w:rsidR="00B81306" w:rsidRDefault="007D1DDC" w:rsidP="007D1DDC">
      <w:pPr>
        <w:pStyle w:val="body"/>
      </w:pPr>
      <w:r>
        <w:t>Arts Tasmania</w:t>
      </w:r>
    </w:p>
    <w:p w14:paraId="6708C934" w14:textId="52392D6D" w:rsidR="007D1DDC" w:rsidRDefault="007D1DDC" w:rsidP="007D1DDC">
      <w:pPr>
        <w:pStyle w:val="body"/>
      </w:pPr>
      <w:proofErr w:type="spellStart"/>
      <w:r>
        <w:t>artsACT</w:t>
      </w:r>
      <w:proofErr w:type="spellEnd"/>
    </w:p>
    <w:p w14:paraId="571BCA19" w14:textId="77777777" w:rsidR="007D1DDC" w:rsidRDefault="007D1DDC" w:rsidP="007D1DDC">
      <w:pPr>
        <w:pStyle w:val="body"/>
      </w:pPr>
      <w:r>
        <w:t xml:space="preserve">Ashwood School </w:t>
      </w:r>
      <w:proofErr w:type="spellStart"/>
      <w:r>
        <w:t>Berendale</w:t>
      </w:r>
      <w:proofErr w:type="spellEnd"/>
      <w:r>
        <w:t xml:space="preserve"> School</w:t>
      </w:r>
    </w:p>
    <w:p w14:paraId="5AC67E28" w14:textId="77777777" w:rsidR="00B81306" w:rsidRDefault="007D1DDC" w:rsidP="007D1DDC">
      <w:pPr>
        <w:pStyle w:val="body"/>
      </w:pPr>
      <w:proofErr w:type="spellStart"/>
      <w:r>
        <w:t>Bayside</w:t>
      </w:r>
      <w:proofErr w:type="spellEnd"/>
      <w:r>
        <w:t xml:space="preserve"> Special Development school</w:t>
      </w:r>
    </w:p>
    <w:p w14:paraId="602504BC" w14:textId="5E115A6A" w:rsidR="007D1DDC" w:rsidRDefault="007D1DDC" w:rsidP="007D1DDC">
      <w:pPr>
        <w:pStyle w:val="body"/>
      </w:pPr>
      <w:proofErr w:type="spellStart"/>
      <w:r>
        <w:t>Brimbank</w:t>
      </w:r>
      <w:proofErr w:type="spellEnd"/>
      <w:r>
        <w:t xml:space="preserve"> City Council</w:t>
      </w:r>
    </w:p>
    <w:p w14:paraId="07339078" w14:textId="77777777" w:rsidR="007D1DDC" w:rsidRDefault="007D1DDC" w:rsidP="007D1DDC">
      <w:pPr>
        <w:pStyle w:val="body"/>
      </w:pPr>
      <w:r>
        <w:t>British Council</w:t>
      </w:r>
    </w:p>
    <w:p w14:paraId="5155E30F" w14:textId="77777777" w:rsidR="00B81306" w:rsidRDefault="007D1DDC" w:rsidP="007D1DDC">
      <w:pPr>
        <w:pStyle w:val="body"/>
      </w:pPr>
      <w:r>
        <w:t>Brunswick Uniting Church</w:t>
      </w:r>
    </w:p>
    <w:p w14:paraId="41DCE2DE" w14:textId="77777777" w:rsidR="00B81306" w:rsidRDefault="007D1DDC" w:rsidP="007D1DDC">
      <w:pPr>
        <w:pStyle w:val="body"/>
      </w:pPr>
      <w:r>
        <w:t>Brunswick Lodge SRS</w:t>
      </w:r>
    </w:p>
    <w:p w14:paraId="6039FBD9" w14:textId="4F53186D" w:rsidR="007D1DDC" w:rsidRDefault="007D1DDC" w:rsidP="007D1DDC">
      <w:pPr>
        <w:pStyle w:val="body"/>
      </w:pPr>
      <w:proofErr w:type="spellStart"/>
      <w:r>
        <w:t>Bunjil</w:t>
      </w:r>
      <w:proofErr w:type="spellEnd"/>
      <w:r>
        <w:t xml:space="preserve"> Place</w:t>
      </w:r>
    </w:p>
    <w:p w14:paraId="44B58456" w14:textId="77777777" w:rsidR="00B81306" w:rsidRDefault="007D1DDC" w:rsidP="007D1DDC">
      <w:pPr>
        <w:pStyle w:val="body"/>
      </w:pPr>
      <w:r>
        <w:t>Commonwealth Home Support Programme</w:t>
      </w:r>
    </w:p>
    <w:p w14:paraId="2B7F8CC6" w14:textId="319538EC" w:rsidR="007D1DDC" w:rsidRDefault="007D1DDC" w:rsidP="007D1DDC">
      <w:pPr>
        <w:pStyle w:val="body"/>
      </w:pPr>
      <w:r>
        <w:t>City of Ballarat</w:t>
      </w:r>
    </w:p>
    <w:p w14:paraId="4FB927FF" w14:textId="77777777" w:rsidR="00B81306" w:rsidRDefault="007D1DDC" w:rsidP="007D1DDC">
      <w:pPr>
        <w:pStyle w:val="body"/>
      </w:pPr>
      <w:r>
        <w:t xml:space="preserve">City of </w:t>
      </w:r>
      <w:proofErr w:type="spellStart"/>
      <w:r>
        <w:t>Banyule</w:t>
      </w:r>
      <w:proofErr w:type="spellEnd"/>
    </w:p>
    <w:p w14:paraId="5C903EC9" w14:textId="77777777" w:rsidR="00B81306" w:rsidRDefault="007D1DDC" w:rsidP="007D1DDC">
      <w:pPr>
        <w:pStyle w:val="body"/>
      </w:pPr>
      <w:r>
        <w:t xml:space="preserve">City of </w:t>
      </w:r>
      <w:proofErr w:type="spellStart"/>
      <w:r>
        <w:t>Brimbank</w:t>
      </w:r>
      <w:proofErr w:type="spellEnd"/>
    </w:p>
    <w:p w14:paraId="43D624FB" w14:textId="77777777" w:rsidR="00B81306" w:rsidRDefault="007D1DDC" w:rsidP="007D1DDC">
      <w:pPr>
        <w:pStyle w:val="body"/>
      </w:pPr>
      <w:r>
        <w:t>City of Casey</w:t>
      </w:r>
    </w:p>
    <w:p w14:paraId="0C99CE3C" w14:textId="4B638445" w:rsidR="007D1DDC" w:rsidRDefault="007D1DDC" w:rsidP="007D1DDC">
      <w:pPr>
        <w:pStyle w:val="body"/>
      </w:pPr>
      <w:r>
        <w:t xml:space="preserve">City of </w:t>
      </w:r>
      <w:proofErr w:type="spellStart"/>
      <w:r>
        <w:t>Darebin</w:t>
      </w:r>
      <w:proofErr w:type="spellEnd"/>
    </w:p>
    <w:p w14:paraId="03899D88" w14:textId="77777777" w:rsidR="007D1DDC" w:rsidRDefault="007D1DDC" w:rsidP="007D1DDC">
      <w:pPr>
        <w:pStyle w:val="body"/>
      </w:pPr>
      <w:r>
        <w:t>City of Frankston</w:t>
      </w:r>
    </w:p>
    <w:p w14:paraId="64455B86" w14:textId="77777777" w:rsidR="00B81306" w:rsidRDefault="007D1DDC" w:rsidP="007D1DDC">
      <w:pPr>
        <w:pStyle w:val="body"/>
      </w:pPr>
      <w:r>
        <w:t>City of Greater Dandenong</w:t>
      </w:r>
    </w:p>
    <w:p w14:paraId="4B91A15E" w14:textId="77777777" w:rsidR="00B81306" w:rsidRDefault="007D1DDC" w:rsidP="007D1DDC">
      <w:pPr>
        <w:pStyle w:val="body"/>
      </w:pPr>
      <w:r>
        <w:t>City of Greater Bendigo</w:t>
      </w:r>
    </w:p>
    <w:p w14:paraId="388974BB" w14:textId="77777777" w:rsidR="00B81306" w:rsidRDefault="007D1DDC" w:rsidP="007D1DDC">
      <w:pPr>
        <w:pStyle w:val="body"/>
      </w:pPr>
      <w:r>
        <w:t>City of Greater Geelong</w:t>
      </w:r>
    </w:p>
    <w:p w14:paraId="516D13B1" w14:textId="133377D9" w:rsidR="007D1DDC" w:rsidRDefault="007D1DDC" w:rsidP="007D1DDC">
      <w:pPr>
        <w:pStyle w:val="body"/>
      </w:pPr>
      <w:r>
        <w:t>City of Kingston</w:t>
      </w:r>
    </w:p>
    <w:p w14:paraId="0686BEA4" w14:textId="77777777" w:rsidR="00B81306" w:rsidRDefault="007D1DDC" w:rsidP="007D1DDC">
      <w:pPr>
        <w:pStyle w:val="body"/>
      </w:pPr>
      <w:r>
        <w:t>City of Maribyrnong</w:t>
      </w:r>
    </w:p>
    <w:p w14:paraId="785C9F91" w14:textId="77777777" w:rsidR="00B81306" w:rsidRDefault="007D1DDC" w:rsidP="007D1DDC">
      <w:pPr>
        <w:pStyle w:val="body"/>
      </w:pPr>
      <w:r>
        <w:t>City of Melbourne</w:t>
      </w:r>
    </w:p>
    <w:p w14:paraId="679ED0B3" w14:textId="77777777" w:rsidR="00B81306" w:rsidRDefault="007D1DDC" w:rsidP="007D1DDC">
      <w:pPr>
        <w:pStyle w:val="body"/>
      </w:pPr>
      <w:r>
        <w:t>City of Port Philip</w:t>
      </w:r>
    </w:p>
    <w:p w14:paraId="541B7748" w14:textId="77777777" w:rsidR="00B81306" w:rsidRDefault="007D1DDC" w:rsidP="007D1DDC">
      <w:pPr>
        <w:pStyle w:val="body"/>
      </w:pPr>
      <w:r>
        <w:t>City of Whittlesea</w:t>
      </w:r>
    </w:p>
    <w:p w14:paraId="60994A5C" w14:textId="2ADBFA3B" w:rsidR="007D1DDC" w:rsidRDefault="007D1DDC" w:rsidP="007D1DDC">
      <w:pPr>
        <w:pStyle w:val="body"/>
      </w:pPr>
      <w:r>
        <w:t xml:space="preserve">City of </w:t>
      </w:r>
      <w:proofErr w:type="spellStart"/>
      <w:r>
        <w:t>Yarra</w:t>
      </w:r>
      <w:proofErr w:type="spellEnd"/>
    </w:p>
    <w:p w14:paraId="7A44D609" w14:textId="77777777" w:rsidR="00B81306" w:rsidRDefault="007D1DDC" w:rsidP="007D1DDC">
      <w:pPr>
        <w:pStyle w:val="body"/>
      </w:pPr>
      <w:r>
        <w:t>Chippendale Lodge SRS</w:t>
      </w:r>
    </w:p>
    <w:p w14:paraId="73C69C30" w14:textId="10CBECB7" w:rsidR="007D1DDC" w:rsidRDefault="007D1DDC" w:rsidP="007D1DDC">
      <w:pPr>
        <w:pStyle w:val="body"/>
      </w:pPr>
      <w:r>
        <w:t>Corner Hotel</w:t>
      </w:r>
    </w:p>
    <w:p w14:paraId="01E72D6B" w14:textId="77777777" w:rsidR="00B81306" w:rsidRDefault="007D1DDC" w:rsidP="007D1DDC">
      <w:pPr>
        <w:pStyle w:val="body"/>
      </w:pPr>
      <w:r>
        <w:t>Create NSW</w:t>
      </w:r>
    </w:p>
    <w:p w14:paraId="2562C571" w14:textId="7ACF6874" w:rsidR="007D1DDC" w:rsidRDefault="007D1DDC" w:rsidP="007D1DDC">
      <w:pPr>
        <w:pStyle w:val="body"/>
      </w:pPr>
      <w:r>
        <w:t>DADAA</w:t>
      </w:r>
    </w:p>
    <w:p w14:paraId="593D3805" w14:textId="77777777" w:rsidR="007D1DDC" w:rsidRDefault="007D1DDC" w:rsidP="007D1DDC">
      <w:pPr>
        <w:pStyle w:val="body"/>
      </w:pPr>
      <w:r>
        <w:t>Dax Centre</w:t>
      </w:r>
    </w:p>
    <w:p w14:paraId="1C9B0BF5" w14:textId="77777777" w:rsidR="007D1DDC" w:rsidRDefault="007D1DDC" w:rsidP="007D1DDC">
      <w:pPr>
        <w:pStyle w:val="body"/>
      </w:pPr>
      <w:r>
        <w:t>Department of Health and Human Services</w:t>
      </w:r>
    </w:p>
    <w:p w14:paraId="03267E50" w14:textId="77777777" w:rsidR="007D1DDC" w:rsidRDefault="007D1DDC" w:rsidP="007D1DDC">
      <w:pPr>
        <w:pStyle w:val="body"/>
      </w:pPr>
      <w:r>
        <w:t>Department of Infrastructure, Transport, Regional Development and Communications</w:t>
      </w:r>
    </w:p>
    <w:p w14:paraId="76C88166" w14:textId="77777777" w:rsidR="007D1DDC" w:rsidRDefault="007D1DDC" w:rsidP="007D1DDC">
      <w:pPr>
        <w:pStyle w:val="body"/>
      </w:pPr>
      <w:r>
        <w:t>Department of Local Government, Sport and Cultural Industries, WA</w:t>
      </w:r>
    </w:p>
    <w:p w14:paraId="05192B0F" w14:textId="77777777" w:rsidR="007D1DDC" w:rsidRDefault="007D1DDC" w:rsidP="007D1DDC">
      <w:pPr>
        <w:pStyle w:val="body"/>
      </w:pPr>
      <w:r>
        <w:t>Department of Tourism and Culture, NT</w:t>
      </w:r>
    </w:p>
    <w:p w14:paraId="31959260" w14:textId="77777777" w:rsidR="007D1DDC" w:rsidRDefault="007D1DDC" w:rsidP="007D1DDC">
      <w:pPr>
        <w:pStyle w:val="body"/>
      </w:pPr>
      <w:r>
        <w:t>Department of Premier and Cabinet, Office of Youth</w:t>
      </w:r>
    </w:p>
    <w:p w14:paraId="521D41FE" w14:textId="77777777" w:rsidR="007D1DDC" w:rsidRDefault="007D1DDC" w:rsidP="007D1DDC">
      <w:pPr>
        <w:pStyle w:val="body"/>
      </w:pPr>
      <w:r>
        <w:t>Diversity Arts Australia</w:t>
      </w:r>
    </w:p>
    <w:p w14:paraId="3E8F9340" w14:textId="77777777" w:rsidR="00B81306" w:rsidRDefault="007D1DDC" w:rsidP="007D1DDC">
      <w:pPr>
        <w:pStyle w:val="body"/>
      </w:pPr>
      <w:r>
        <w:t>East Gippsland Shire Council</w:t>
      </w:r>
    </w:p>
    <w:p w14:paraId="4779944D" w14:textId="172D43D2" w:rsidR="007D1DDC" w:rsidRDefault="007D1DDC" w:rsidP="007D1DDC">
      <w:pPr>
        <w:pStyle w:val="body"/>
      </w:pPr>
      <w:r>
        <w:t>Emerging Writers Festival</w:t>
      </w:r>
    </w:p>
    <w:p w14:paraId="332B704A" w14:textId="77777777" w:rsidR="007D1DDC" w:rsidRDefault="007D1DDC" w:rsidP="007D1DDC">
      <w:pPr>
        <w:pStyle w:val="body"/>
      </w:pPr>
      <w:r>
        <w:lastRenderedPageBreak/>
        <w:t>Film Victoria</w:t>
      </w:r>
    </w:p>
    <w:p w14:paraId="50E2DC1B" w14:textId="77777777" w:rsidR="00B81306" w:rsidRDefault="007D1DDC" w:rsidP="007D1DDC">
      <w:pPr>
        <w:pStyle w:val="body"/>
      </w:pPr>
      <w:proofErr w:type="spellStart"/>
      <w:r>
        <w:t>Footscray</w:t>
      </w:r>
      <w:proofErr w:type="spellEnd"/>
      <w:r>
        <w:t xml:space="preserve"> Community Arts Centre</w:t>
      </w:r>
    </w:p>
    <w:p w14:paraId="247F90D7" w14:textId="20CC18DF" w:rsidR="007D1DDC" w:rsidRDefault="007D1DDC" w:rsidP="007D1DDC">
      <w:pPr>
        <w:pStyle w:val="body"/>
      </w:pPr>
      <w:proofErr w:type="spellStart"/>
      <w:r>
        <w:t>Footscray</w:t>
      </w:r>
      <w:proofErr w:type="spellEnd"/>
      <w:r>
        <w:t xml:space="preserve"> House SRS</w:t>
      </w:r>
    </w:p>
    <w:p w14:paraId="10D5E9BF" w14:textId="77777777" w:rsidR="00B81306" w:rsidRDefault="007D1DDC" w:rsidP="007D1DDC">
      <w:pPr>
        <w:pStyle w:val="body"/>
      </w:pPr>
      <w:r>
        <w:t>Fusion Theatre</w:t>
      </w:r>
    </w:p>
    <w:p w14:paraId="79A1101C" w14:textId="77777777" w:rsidR="00B81306" w:rsidRDefault="007D1DDC" w:rsidP="007D1DDC">
      <w:pPr>
        <w:pStyle w:val="body"/>
      </w:pPr>
      <w:r>
        <w:t>Greenhaven SRS</w:t>
      </w:r>
    </w:p>
    <w:p w14:paraId="425750F9" w14:textId="77777777" w:rsidR="00B81306" w:rsidRDefault="007D1DDC" w:rsidP="007D1DDC">
      <w:pPr>
        <w:pStyle w:val="body"/>
      </w:pPr>
      <w:r>
        <w:t>Goldfields Library</w:t>
      </w:r>
    </w:p>
    <w:p w14:paraId="39E9FC76" w14:textId="77777777" w:rsidR="00B81306" w:rsidRDefault="007D1DDC" w:rsidP="007D1DDC">
      <w:pPr>
        <w:pStyle w:val="body"/>
      </w:pPr>
      <w:proofErr w:type="spellStart"/>
      <w:r>
        <w:t>Hural</w:t>
      </w:r>
      <w:proofErr w:type="spellEnd"/>
      <w:r>
        <w:t xml:space="preserve"> Access</w:t>
      </w:r>
    </w:p>
    <w:p w14:paraId="4CE4464C" w14:textId="2D6FED29" w:rsidR="007D1DDC" w:rsidRDefault="007D1DDC" w:rsidP="007D1DDC">
      <w:pPr>
        <w:pStyle w:val="body"/>
      </w:pPr>
      <w:proofErr w:type="spellStart"/>
      <w:r>
        <w:t>InCite</w:t>
      </w:r>
      <w:proofErr w:type="spellEnd"/>
      <w:r>
        <w:t xml:space="preserve"> Arts</w:t>
      </w:r>
    </w:p>
    <w:p w14:paraId="5687AD06" w14:textId="77777777" w:rsidR="00B81306" w:rsidRDefault="007D1DDC" w:rsidP="007D1DDC">
      <w:pPr>
        <w:pStyle w:val="body"/>
      </w:pPr>
      <w:r>
        <w:t xml:space="preserve">The Indian Film Festival of </w:t>
      </w:r>
      <w:proofErr w:type="spellStart"/>
      <w:r>
        <w:t>Melbourn</w:t>
      </w:r>
      <w:proofErr w:type="spellEnd"/>
    </w:p>
    <w:p w14:paraId="6C69A24E" w14:textId="6E41347E" w:rsidR="007D1DDC" w:rsidRDefault="007D1DDC" w:rsidP="007D1DDC">
      <w:pPr>
        <w:pStyle w:val="body"/>
      </w:pPr>
      <w:r>
        <w:t xml:space="preserve"> Inner west Council</w:t>
      </w:r>
    </w:p>
    <w:p w14:paraId="2B847C3A" w14:textId="77777777" w:rsidR="007D1DDC" w:rsidRDefault="007D1DDC" w:rsidP="007D1DDC">
      <w:pPr>
        <w:pStyle w:val="body"/>
      </w:pPr>
      <w:proofErr w:type="spellStart"/>
      <w:r>
        <w:t>Kaz</w:t>
      </w:r>
      <w:proofErr w:type="spellEnd"/>
      <w:r>
        <w:t xml:space="preserve"> School</w:t>
      </w:r>
    </w:p>
    <w:p w14:paraId="5FCF71F0" w14:textId="77777777" w:rsidR="00B81306" w:rsidRDefault="007D1DDC" w:rsidP="007D1DDC">
      <w:pPr>
        <w:pStyle w:val="body"/>
      </w:pPr>
      <w:r>
        <w:t>Lucas Community Hub</w:t>
      </w:r>
    </w:p>
    <w:p w14:paraId="149E9A82" w14:textId="3CD20325" w:rsidR="007D1DDC" w:rsidRDefault="007D1DDC" w:rsidP="007D1DDC">
      <w:pPr>
        <w:pStyle w:val="body"/>
      </w:pPr>
      <w:r>
        <w:t>Melbourne Fringe Festival</w:t>
      </w:r>
    </w:p>
    <w:p w14:paraId="239A341C" w14:textId="77777777" w:rsidR="007D1DDC" w:rsidRDefault="007D1DDC" w:rsidP="007D1DDC">
      <w:pPr>
        <w:pStyle w:val="body"/>
      </w:pPr>
      <w:r>
        <w:t>Melbourne International Arts Festival (‘Melbourne Festival’)</w:t>
      </w:r>
    </w:p>
    <w:p w14:paraId="1B72E777" w14:textId="77777777" w:rsidR="00B81306" w:rsidRDefault="007D1DDC" w:rsidP="007D1DDC">
      <w:pPr>
        <w:pStyle w:val="body"/>
      </w:pPr>
      <w:r>
        <w:t>The Melbourne International Film Festival</w:t>
      </w:r>
    </w:p>
    <w:p w14:paraId="6DCDE991" w14:textId="6E5DB197" w:rsidR="007D1DDC" w:rsidRDefault="007D1DDC" w:rsidP="007D1DDC">
      <w:pPr>
        <w:pStyle w:val="body"/>
      </w:pPr>
      <w:r>
        <w:t>Melbourne Recital Centre</w:t>
      </w:r>
    </w:p>
    <w:p w14:paraId="5E44175C" w14:textId="77777777" w:rsidR="007D1DDC" w:rsidRDefault="007D1DDC" w:rsidP="007D1DDC">
      <w:pPr>
        <w:pStyle w:val="body"/>
      </w:pPr>
      <w:r>
        <w:t xml:space="preserve">Melbourne Spoken Word and Poetry Festival </w:t>
      </w:r>
    </w:p>
    <w:p w14:paraId="0F863FE3" w14:textId="7C5EDCA8" w:rsidR="007D1DDC" w:rsidRDefault="007D1DDC" w:rsidP="007D1DDC">
      <w:pPr>
        <w:pStyle w:val="body"/>
      </w:pPr>
      <w:r>
        <w:t>Melbourne Theatre Company</w:t>
      </w:r>
    </w:p>
    <w:p w14:paraId="0A410B65" w14:textId="77777777" w:rsidR="007D1DDC" w:rsidRDefault="007D1DDC" w:rsidP="007D1DDC">
      <w:pPr>
        <w:pStyle w:val="body"/>
      </w:pPr>
      <w:r>
        <w:t>Melbourne Writers Festival</w:t>
      </w:r>
    </w:p>
    <w:p w14:paraId="0C7B652B" w14:textId="74E4D80B" w:rsidR="007D1DDC" w:rsidRDefault="007D1DDC" w:rsidP="007D1DDC">
      <w:pPr>
        <w:pStyle w:val="body"/>
      </w:pPr>
      <w:r>
        <w:t xml:space="preserve"> Melton City Council </w:t>
      </w:r>
    </w:p>
    <w:p w14:paraId="39E6D1BD" w14:textId="65230B75" w:rsidR="007D1DDC" w:rsidRDefault="007D1DDC" w:rsidP="007D1DDC">
      <w:pPr>
        <w:pStyle w:val="body"/>
      </w:pPr>
      <w:r>
        <w:t xml:space="preserve">Moonee Valley Council </w:t>
      </w:r>
    </w:p>
    <w:p w14:paraId="60277792" w14:textId="77777777" w:rsidR="007D1DDC" w:rsidRDefault="007D1DDC" w:rsidP="007D1DDC">
      <w:pPr>
        <w:pStyle w:val="body"/>
      </w:pPr>
      <w:r>
        <w:t xml:space="preserve">Moreland City Council </w:t>
      </w:r>
    </w:p>
    <w:p w14:paraId="2C4DA3A2" w14:textId="67090591" w:rsidR="007D1DDC" w:rsidRDefault="007D1DDC" w:rsidP="007D1DDC">
      <w:pPr>
        <w:pStyle w:val="body"/>
      </w:pPr>
      <w:r>
        <w:t>Mornington Peninsula Shire</w:t>
      </w:r>
    </w:p>
    <w:p w14:paraId="6F4BC5F9" w14:textId="77777777" w:rsidR="007D1DDC" w:rsidRDefault="007D1DDC" w:rsidP="007D1DDC">
      <w:pPr>
        <w:pStyle w:val="body"/>
      </w:pPr>
      <w:r>
        <w:t>National Disability Insurance Agency (NDIA)</w:t>
      </w:r>
    </w:p>
    <w:p w14:paraId="30DE1C6A" w14:textId="48F6E029" w:rsidR="007D1DDC" w:rsidRDefault="007D1DDC" w:rsidP="007D1DDC">
      <w:pPr>
        <w:pStyle w:val="body"/>
      </w:pPr>
      <w:r>
        <w:t>The National Gallery of Victoria (NGV)</w:t>
      </w:r>
    </w:p>
    <w:p w14:paraId="53F4E1D4" w14:textId="77777777" w:rsidR="007D1DDC" w:rsidRDefault="007D1DDC" w:rsidP="007D1DDC">
      <w:pPr>
        <w:pStyle w:val="body"/>
      </w:pPr>
      <w:r>
        <w:t>Next Wave</w:t>
      </w:r>
    </w:p>
    <w:p w14:paraId="733B2E0A" w14:textId="77777777" w:rsidR="007D1DDC" w:rsidRDefault="007D1DDC" w:rsidP="007D1DDC">
      <w:pPr>
        <w:pStyle w:val="body"/>
      </w:pPr>
      <w:r>
        <w:t>Park Towers Management</w:t>
      </w:r>
    </w:p>
    <w:p w14:paraId="45367A3D" w14:textId="77777777" w:rsidR="007D1DDC" w:rsidRDefault="007D1DDC" w:rsidP="007D1DDC">
      <w:pPr>
        <w:pStyle w:val="body"/>
      </w:pPr>
      <w:r>
        <w:t>Queens Lodge SRS</w:t>
      </w:r>
    </w:p>
    <w:p w14:paraId="017D742F" w14:textId="77777777" w:rsidR="007D1DDC" w:rsidRDefault="007D1DDC" w:rsidP="007D1DDC">
      <w:pPr>
        <w:pStyle w:val="body"/>
      </w:pPr>
      <w:r>
        <w:t>Regional Arts Victoria</w:t>
      </w:r>
    </w:p>
    <w:p w14:paraId="74885B41" w14:textId="4A0373C7" w:rsidR="007D1DDC" w:rsidRDefault="007D1DDC" w:rsidP="007D1DDC">
      <w:pPr>
        <w:pStyle w:val="body"/>
      </w:pPr>
      <w:r>
        <w:t>RMIT University</w:t>
      </w:r>
    </w:p>
    <w:p w14:paraId="0AC57992" w14:textId="77777777" w:rsidR="007D1DDC" w:rsidRDefault="007D1DDC" w:rsidP="007D1DDC">
      <w:pPr>
        <w:pStyle w:val="body"/>
      </w:pPr>
      <w:r>
        <w:t>Rotary Club Melbourne</w:t>
      </w:r>
    </w:p>
    <w:p w14:paraId="2E21B344" w14:textId="378BD70A" w:rsidR="007D1DDC" w:rsidRDefault="007D1DDC" w:rsidP="007D1DDC">
      <w:pPr>
        <w:pStyle w:val="body"/>
      </w:pPr>
      <w:r>
        <w:t>Royal Ave SRS</w:t>
      </w:r>
    </w:p>
    <w:p w14:paraId="5B0757C0" w14:textId="77777777" w:rsidR="007D1DDC" w:rsidRDefault="007D1DDC" w:rsidP="007D1DDC">
      <w:pPr>
        <w:pStyle w:val="body"/>
      </w:pPr>
      <w:r>
        <w:t>Screen Australia</w:t>
      </w:r>
    </w:p>
    <w:p w14:paraId="5DE70BD9" w14:textId="1FD57572" w:rsidR="007D1DDC" w:rsidRDefault="007D1DDC" w:rsidP="007D1DDC">
      <w:pPr>
        <w:pStyle w:val="body"/>
      </w:pPr>
      <w:r>
        <w:t>Shire of Glenelg Signal</w:t>
      </w:r>
    </w:p>
    <w:p w14:paraId="481DC291" w14:textId="77777777" w:rsidR="007D1DDC" w:rsidRDefault="007D1DDC" w:rsidP="007D1DDC">
      <w:pPr>
        <w:pStyle w:val="body"/>
      </w:pPr>
      <w:r>
        <w:t>Skin and Cancer Foundation Inc</w:t>
      </w:r>
    </w:p>
    <w:p w14:paraId="03BE5D00" w14:textId="76196AA9" w:rsidR="007D1DDC" w:rsidRDefault="007D1DDC" w:rsidP="007D1DDC">
      <w:pPr>
        <w:pStyle w:val="body"/>
      </w:pPr>
      <w:r>
        <w:t xml:space="preserve">Southwest </w:t>
      </w:r>
      <w:proofErr w:type="spellStart"/>
      <w:r>
        <w:t>Tafe</w:t>
      </w:r>
      <w:proofErr w:type="spellEnd"/>
    </w:p>
    <w:p w14:paraId="39028252" w14:textId="77777777" w:rsidR="007D1DDC" w:rsidRDefault="007D1DDC" w:rsidP="007D1DDC">
      <w:pPr>
        <w:pStyle w:val="body"/>
      </w:pPr>
      <w:r>
        <w:t>Sydenham Grace SRS SYN FM</w:t>
      </w:r>
    </w:p>
    <w:p w14:paraId="355DA350" w14:textId="77777777" w:rsidR="007D1DDC" w:rsidRDefault="007D1DDC" w:rsidP="007D1DDC">
      <w:pPr>
        <w:pStyle w:val="body"/>
      </w:pPr>
      <w:r>
        <w:t>University of Melbourne</w:t>
      </w:r>
    </w:p>
    <w:p w14:paraId="42EFA814" w14:textId="77777777" w:rsidR="007D1DDC" w:rsidRDefault="007D1DDC" w:rsidP="007D1DDC">
      <w:pPr>
        <w:pStyle w:val="body"/>
      </w:pPr>
      <w:r>
        <w:t>University of Sydney</w:t>
      </w:r>
    </w:p>
    <w:p w14:paraId="1D0B06FB" w14:textId="77777777" w:rsidR="007D1DDC" w:rsidRDefault="007D1DDC" w:rsidP="007D1DDC">
      <w:pPr>
        <w:pStyle w:val="body"/>
      </w:pPr>
      <w:r>
        <w:t>Victoria University</w:t>
      </w:r>
    </w:p>
    <w:p w14:paraId="509FCEF0" w14:textId="77777777" w:rsidR="007D1DDC" w:rsidRDefault="007D1DDC" w:rsidP="007D1DDC">
      <w:pPr>
        <w:pStyle w:val="body"/>
      </w:pPr>
      <w:r>
        <w:t>Warrnambool City Council</w:t>
      </w:r>
    </w:p>
    <w:p w14:paraId="7A609B21" w14:textId="77777777" w:rsidR="007D1DDC" w:rsidRDefault="007D1DDC" w:rsidP="007D1DDC">
      <w:pPr>
        <w:pStyle w:val="body"/>
      </w:pPr>
      <w:r>
        <w:t>Wellington Shire Council</w:t>
      </w:r>
    </w:p>
    <w:p w14:paraId="304E5BE8" w14:textId="38C861E7" w:rsidR="007D1DDC" w:rsidRDefault="007D1DDC" w:rsidP="007D1DDC">
      <w:pPr>
        <w:pStyle w:val="body"/>
      </w:pPr>
      <w:r>
        <w:t>Wild at Heart</w:t>
      </w:r>
    </w:p>
    <w:p w14:paraId="49289E22" w14:textId="77777777" w:rsidR="007D1DDC" w:rsidRDefault="007D1DDC" w:rsidP="007D1DDC">
      <w:pPr>
        <w:pStyle w:val="body"/>
      </w:pPr>
      <w:r>
        <w:t>Willows SRS</w:t>
      </w:r>
    </w:p>
    <w:p w14:paraId="6F567D7D" w14:textId="77777777" w:rsidR="007D1DDC" w:rsidRDefault="007D1DDC" w:rsidP="007D1DDC">
      <w:pPr>
        <w:pStyle w:val="body"/>
      </w:pPr>
      <w:r>
        <w:t xml:space="preserve">The Wheeler Centre </w:t>
      </w:r>
    </w:p>
    <w:p w14:paraId="2F1DC0B8" w14:textId="77777777" w:rsidR="007D1DDC" w:rsidRDefault="007D1DDC" w:rsidP="007D1DDC">
      <w:pPr>
        <w:pStyle w:val="body"/>
      </w:pPr>
      <w:proofErr w:type="spellStart"/>
      <w:r>
        <w:t>WorkFocus</w:t>
      </w:r>
      <w:proofErr w:type="spellEnd"/>
      <w:r>
        <w:t xml:space="preserve"> Australia</w:t>
      </w:r>
    </w:p>
    <w:p w14:paraId="649D0FBD" w14:textId="237716BB" w:rsidR="00DF601D" w:rsidRPr="00B2121F" w:rsidRDefault="007D1DDC" w:rsidP="007D1DDC">
      <w:pPr>
        <w:pStyle w:val="body"/>
      </w:pPr>
      <w:proofErr w:type="spellStart"/>
      <w:r>
        <w:t>Yarra</w:t>
      </w:r>
      <w:proofErr w:type="spellEnd"/>
      <w:r>
        <w:t xml:space="preserve"> Libraries</w:t>
      </w:r>
    </w:p>
    <w:sectPr w:rsidR="00DF601D" w:rsidRPr="00B2121F" w:rsidSect="00B81306">
      <w:type w:val="continuous"/>
      <w:pgSz w:w="11906" w:h="16838"/>
      <w:pgMar w:top="1985" w:right="849" w:bottom="1440" w:left="851" w:header="709" w:footer="709" w:gutter="0"/>
      <w:cols w:num="2" w:space="25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8EA33" w14:textId="77777777" w:rsidR="001173C3" w:rsidRDefault="001173C3" w:rsidP="007818DF">
      <w:pPr>
        <w:spacing w:after="0" w:line="240" w:lineRule="auto"/>
      </w:pPr>
      <w:r>
        <w:separator/>
      </w:r>
    </w:p>
  </w:endnote>
  <w:endnote w:type="continuationSeparator" w:id="0">
    <w:p w14:paraId="49372A8D" w14:textId="77777777" w:rsidR="001173C3" w:rsidRDefault="001173C3" w:rsidP="0078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T Walsheim Regular">
    <w:panose1 w:val="02000503030000020003"/>
    <w:charset w:val="00"/>
    <w:family w:val="auto"/>
    <w:pitch w:val="variable"/>
    <w:sig w:usb0="A00000AF" w:usb1="5000206B" w:usb2="00000000" w:usb3="00000000" w:csb0="00000093" w:csb1="00000000"/>
  </w:font>
  <w:font w:name="GTSectraDisplay-Bold">
    <w:panose1 w:val="02000503000000020003"/>
    <w:charset w:val="00"/>
    <w:family w:val="auto"/>
    <w:pitch w:val="variable"/>
    <w:sig w:usb0="A00000AF" w:usb1="5000206A" w:usb2="00000000" w:usb3="00000000" w:csb0="00000093" w:csb1="00000000"/>
  </w:font>
  <w:font w:name="GT Walsheim Bold">
    <w:panose1 w:val="02000503040000020003"/>
    <w:charset w:val="00"/>
    <w:family w:val="auto"/>
    <w:pitch w:val="variable"/>
    <w:sig w:usb0="A00000AF" w:usb1="5000206B" w:usb2="00000000" w:usb3="00000000" w:csb0="00000093" w:csb1="00000000"/>
  </w:font>
  <w:font w:name="GTSectra-Book">
    <w:panose1 w:val="02000503070000020003"/>
    <w:charset w:val="00"/>
    <w:family w:val="auto"/>
    <w:pitch w:val="variable"/>
    <w:sig w:usb0="A00000AF" w:usb1="5000206B" w:usb2="00000000" w:usb3="00000000" w:csb0="00000093" w:csb1="00000000"/>
  </w:font>
  <w:font w:name="GT Walshei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cuminVariableConcep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6976342"/>
      <w:docPartObj>
        <w:docPartGallery w:val="Page Numbers (Bottom of Page)"/>
        <w:docPartUnique/>
      </w:docPartObj>
    </w:sdtPr>
    <w:sdtEndPr/>
    <w:sdtContent>
      <w:sdt>
        <w:sdtPr>
          <w:id w:val="-1751574994"/>
          <w:docPartObj>
            <w:docPartGallery w:val="Page Numbers (Top of Page)"/>
            <w:docPartUnique/>
          </w:docPartObj>
        </w:sdtPr>
        <w:sdtEndPr/>
        <w:sdtContent>
          <w:p w14:paraId="12560A4C" w14:textId="67892E65" w:rsidR="00B81306" w:rsidRDefault="00B8130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6332065"/>
      <w:docPartObj>
        <w:docPartGallery w:val="Page Numbers (Bottom of Page)"/>
        <w:docPartUnique/>
      </w:docPartObj>
    </w:sdtPr>
    <w:sdtEndPr/>
    <w:sdtContent>
      <w:sdt>
        <w:sdtPr>
          <w:id w:val="-1349871964"/>
          <w:docPartObj>
            <w:docPartGallery w:val="Page Numbers (Top of Page)"/>
            <w:docPartUnique/>
          </w:docPartObj>
        </w:sdtPr>
        <w:sdtEndPr/>
        <w:sdtContent>
          <w:p w14:paraId="34B53A53" w14:textId="290DE893" w:rsidR="00B81306" w:rsidRDefault="00B8130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D9E83" w14:textId="77777777" w:rsidR="001173C3" w:rsidRDefault="001173C3" w:rsidP="007818DF">
      <w:pPr>
        <w:spacing w:after="0" w:line="240" w:lineRule="auto"/>
      </w:pPr>
      <w:r>
        <w:separator/>
      </w:r>
    </w:p>
  </w:footnote>
  <w:footnote w:type="continuationSeparator" w:id="0">
    <w:p w14:paraId="24D42480" w14:textId="77777777" w:rsidR="001173C3" w:rsidRDefault="001173C3" w:rsidP="00781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C2FB8" w14:textId="6CE494ED" w:rsidR="00B81306" w:rsidRDefault="00B81306">
    <w:pPr>
      <w:pStyle w:val="Header"/>
    </w:pPr>
    <w:r>
      <w:rPr>
        <w:noProof/>
      </w:rPr>
      <w:drawing>
        <wp:anchor distT="0" distB="0" distL="114300" distR="114300" simplePos="0" relativeHeight="251661312" behindDoc="0" locked="0" layoutInCell="1" allowOverlap="1" wp14:anchorId="19D6546B" wp14:editId="3960B71C">
          <wp:simplePos x="0" y="0"/>
          <wp:positionH relativeFrom="column">
            <wp:posOffset>5010150</wp:posOffset>
          </wp:positionH>
          <wp:positionV relativeFrom="paragraph">
            <wp:posOffset>7620</wp:posOffset>
          </wp:positionV>
          <wp:extent cx="1228725" cy="582674"/>
          <wp:effectExtent l="0" t="0" r="0" b="8255"/>
          <wp:wrapNone/>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5826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BD556" w14:textId="77777777" w:rsidR="00B81306" w:rsidRDefault="00B81306">
    <w:pPr>
      <w:pStyle w:val="Header"/>
    </w:pPr>
  </w:p>
  <w:p w14:paraId="7103CDE0" w14:textId="77777777" w:rsidR="00B81306" w:rsidRDefault="00B81306"/>
  <w:p w14:paraId="10DE500B" w14:textId="77777777" w:rsidR="00B81306" w:rsidRDefault="00B813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C945F" w14:textId="77777777" w:rsidR="00B81306" w:rsidRDefault="00B81306">
    <w:pPr>
      <w:pStyle w:val="Header"/>
      <w:rPr>
        <w:noProof/>
      </w:rPr>
    </w:pPr>
  </w:p>
  <w:p w14:paraId="53BC4A69" w14:textId="5E91A81F" w:rsidR="00B81306" w:rsidRDefault="00B81306">
    <w:pPr>
      <w:pStyle w:val="Header"/>
      <w:rPr>
        <w:noProof/>
      </w:rPr>
    </w:pPr>
    <w:r>
      <w:rPr>
        <w:noProof/>
      </w:rPr>
      <w:drawing>
        <wp:anchor distT="0" distB="0" distL="114300" distR="114300" simplePos="0" relativeHeight="251659264" behindDoc="1" locked="0" layoutInCell="1" allowOverlap="1" wp14:anchorId="1A33DB76" wp14:editId="6EFB50F3">
          <wp:simplePos x="0" y="0"/>
          <wp:positionH relativeFrom="column">
            <wp:posOffset>4991100</wp:posOffset>
          </wp:positionH>
          <wp:positionV relativeFrom="paragraph">
            <wp:posOffset>-144780</wp:posOffset>
          </wp:positionV>
          <wp:extent cx="1228725" cy="582674"/>
          <wp:effectExtent l="0" t="0" r="0" b="8255"/>
          <wp:wrapNone/>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5826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772BBD" w14:textId="4E52FF6B" w:rsidR="00B81306" w:rsidRDefault="00B81306">
    <w:pPr>
      <w:pStyle w:val="Header"/>
    </w:pPr>
  </w:p>
  <w:p w14:paraId="77CD3D90" w14:textId="77777777" w:rsidR="00B81306" w:rsidRDefault="00B81306"/>
  <w:p w14:paraId="43FEB743" w14:textId="77777777" w:rsidR="00B81306" w:rsidRDefault="00B813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56695"/>
    <w:multiLevelType w:val="hybridMultilevel"/>
    <w:tmpl w:val="B56EF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C70D18"/>
    <w:multiLevelType w:val="hybridMultilevel"/>
    <w:tmpl w:val="669C03D6"/>
    <w:lvl w:ilvl="0" w:tplc="F8BE2EA2">
      <w:start w:val="2020"/>
      <w:numFmt w:val="bullet"/>
      <w:lvlText w:val="-"/>
      <w:lvlJc w:val="left"/>
      <w:pPr>
        <w:ind w:left="720" w:hanging="360"/>
      </w:pPr>
      <w:rPr>
        <w:rFonts w:ascii="Calibri" w:eastAsiaTheme="minorHAnsi"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EB0608A"/>
    <w:multiLevelType w:val="hybridMultilevel"/>
    <w:tmpl w:val="C1D0D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A55B15"/>
    <w:multiLevelType w:val="hybridMultilevel"/>
    <w:tmpl w:val="EC8C69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F01472"/>
    <w:multiLevelType w:val="hybridMultilevel"/>
    <w:tmpl w:val="539CF9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987823"/>
    <w:multiLevelType w:val="hybridMultilevel"/>
    <w:tmpl w:val="868C0916"/>
    <w:lvl w:ilvl="0" w:tplc="802211B4">
      <w:start w:val="2020"/>
      <w:numFmt w:val="bullet"/>
      <w:lvlText w:val="–"/>
      <w:lvlJc w:val="left"/>
      <w:pPr>
        <w:ind w:left="720" w:hanging="360"/>
      </w:pPr>
      <w:rPr>
        <w:rFonts w:ascii="Calibri" w:eastAsiaTheme="minorHAnsi"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0BD35A6"/>
    <w:multiLevelType w:val="hybridMultilevel"/>
    <w:tmpl w:val="D908B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476693"/>
    <w:multiLevelType w:val="hybridMultilevel"/>
    <w:tmpl w:val="CF184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895CBE"/>
    <w:multiLevelType w:val="hybridMultilevel"/>
    <w:tmpl w:val="3FC84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6"/>
  </w:num>
  <w:num w:numId="5">
    <w:abstractNumId w:val="7"/>
  </w:num>
  <w:num w:numId="6">
    <w:abstractNumId w:val="1"/>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Q0MLc0NLIwMjQwMDdV0lEKTi0uzszPAykwrgUAfeMEoywAAAA="/>
  </w:docVars>
  <w:rsids>
    <w:rsidRoot w:val="007818DF"/>
    <w:rsid w:val="000D3966"/>
    <w:rsid w:val="001173C3"/>
    <w:rsid w:val="001309ED"/>
    <w:rsid w:val="00166FB0"/>
    <w:rsid w:val="001A2420"/>
    <w:rsid w:val="001C7503"/>
    <w:rsid w:val="00276828"/>
    <w:rsid w:val="002B757D"/>
    <w:rsid w:val="002E1B68"/>
    <w:rsid w:val="003303D3"/>
    <w:rsid w:val="00371564"/>
    <w:rsid w:val="00386ABB"/>
    <w:rsid w:val="003E3790"/>
    <w:rsid w:val="003E6215"/>
    <w:rsid w:val="003F137F"/>
    <w:rsid w:val="00466433"/>
    <w:rsid w:val="00510873"/>
    <w:rsid w:val="00520FC2"/>
    <w:rsid w:val="005703A0"/>
    <w:rsid w:val="005C0778"/>
    <w:rsid w:val="005F46D9"/>
    <w:rsid w:val="006352DC"/>
    <w:rsid w:val="00664BD6"/>
    <w:rsid w:val="00681B8E"/>
    <w:rsid w:val="006958CB"/>
    <w:rsid w:val="006A3035"/>
    <w:rsid w:val="007227BC"/>
    <w:rsid w:val="007818DF"/>
    <w:rsid w:val="007D1DDC"/>
    <w:rsid w:val="007D2F3B"/>
    <w:rsid w:val="00816F4A"/>
    <w:rsid w:val="00817798"/>
    <w:rsid w:val="0082768C"/>
    <w:rsid w:val="008B1339"/>
    <w:rsid w:val="008D7FF2"/>
    <w:rsid w:val="008F667A"/>
    <w:rsid w:val="009227CF"/>
    <w:rsid w:val="00927A48"/>
    <w:rsid w:val="009538F9"/>
    <w:rsid w:val="009C0408"/>
    <w:rsid w:val="009D4D39"/>
    <w:rsid w:val="009E69F0"/>
    <w:rsid w:val="00A6701E"/>
    <w:rsid w:val="00B81306"/>
    <w:rsid w:val="00BA3DB8"/>
    <w:rsid w:val="00BB6815"/>
    <w:rsid w:val="00BE7B68"/>
    <w:rsid w:val="00C50BCA"/>
    <w:rsid w:val="00C55295"/>
    <w:rsid w:val="00C71488"/>
    <w:rsid w:val="00D1288F"/>
    <w:rsid w:val="00DB6C68"/>
    <w:rsid w:val="00DC0A56"/>
    <w:rsid w:val="00DF601D"/>
    <w:rsid w:val="00E458B3"/>
    <w:rsid w:val="00F1638E"/>
    <w:rsid w:val="00F559A7"/>
    <w:rsid w:val="00F56D77"/>
    <w:rsid w:val="00F83A90"/>
    <w:rsid w:val="00FD1EBF"/>
    <w:rsid w:val="096DBDC1"/>
    <w:rsid w:val="0F10E0F5"/>
    <w:rsid w:val="23223B2E"/>
    <w:rsid w:val="245238E1"/>
    <w:rsid w:val="30BA9993"/>
    <w:rsid w:val="365A0265"/>
    <w:rsid w:val="40708E9B"/>
    <w:rsid w:val="4A305667"/>
    <w:rsid w:val="62EA532B"/>
    <w:rsid w:val="645D7823"/>
    <w:rsid w:val="6BE99DFF"/>
    <w:rsid w:val="6D72FE1E"/>
    <w:rsid w:val="72A9CC7B"/>
    <w:rsid w:val="748567AC"/>
    <w:rsid w:val="74D3B826"/>
    <w:rsid w:val="754856E9"/>
    <w:rsid w:val="77A959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F320E"/>
  <w15:chartTrackingRefBased/>
  <w15:docId w15:val="{EE96DE24-4A84-40DC-93F0-A2BA8B9B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01D"/>
  </w:style>
  <w:style w:type="paragraph" w:styleId="Heading1">
    <w:name w:val="heading 1"/>
    <w:basedOn w:val="Normal"/>
    <w:next w:val="Normal"/>
    <w:link w:val="Heading1Char"/>
    <w:uiPriority w:val="9"/>
    <w:qFormat/>
    <w:rsid w:val="002B75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B75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E7B6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8DF"/>
  </w:style>
  <w:style w:type="paragraph" w:styleId="Footer">
    <w:name w:val="footer"/>
    <w:basedOn w:val="Normal"/>
    <w:link w:val="FooterChar"/>
    <w:uiPriority w:val="99"/>
    <w:unhideWhenUsed/>
    <w:rsid w:val="00781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8DF"/>
  </w:style>
  <w:style w:type="paragraph" w:styleId="BalloonText">
    <w:name w:val="Balloon Text"/>
    <w:basedOn w:val="Normal"/>
    <w:link w:val="BalloonTextChar"/>
    <w:uiPriority w:val="99"/>
    <w:semiHidden/>
    <w:unhideWhenUsed/>
    <w:rsid w:val="00781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8DF"/>
    <w:rPr>
      <w:rFonts w:ascii="Segoe UI" w:hAnsi="Segoe UI" w:cs="Segoe UI"/>
      <w:sz w:val="18"/>
      <w:szCs w:val="18"/>
    </w:rPr>
  </w:style>
  <w:style w:type="paragraph" w:customStyle="1" w:styleId="BasicParagraph">
    <w:name w:val="[Basic Paragraph]"/>
    <w:basedOn w:val="Normal"/>
    <w:link w:val="BasicParagraphChar"/>
    <w:uiPriority w:val="99"/>
    <w:rsid w:val="007818DF"/>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BodycopyDustyGrey">
    <w:name w:val="Bodycopy_Dusty Grey"/>
    <w:basedOn w:val="Normal"/>
    <w:link w:val="BodycopyDustyGreyChar"/>
    <w:uiPriority w:val="99"/>
    <w:rsid w:val="007818DF"/>
    <w:pPr>
      <w:tabs>
        <w:tab w:val="left" w:pos="340"/>
      </w:tabs>
      <w:suppressAutoHyphens/>
      <w:autoSpaceDE w:val="0"/>
      <w:autoSpaceDN w:val="0"/>
      <w:adjustRightInd w:val="0"/>
      <w:spacing w:after="0" w:line="400" w:lineRule="atLeast"/>
      <w:textAlignment w:val="center"/>
    </w:pPr>
    <w:rPr>
      <w:rFonts w:ascii="GT Walsheim Regular" w:hAnsi="GT Walsheim Regular" w:cs="GT Walsheim Regular"/>
      <w:color w:val="2C2D35"/>
      <w:spacing w:val="-2"/>
      <w:sz w:val="28"/>
      <w:szCs w:val="28"/>
      <w:lang w:val="en-GB"/>
    </w:rPr>
  </w:style>
  <w:style w:type="character" w:customStyle="1" w:styleId="HeadingLARGEserif">
    <w:name w:val="Heading_LARGE_serif"/>
    <w:basedOn w:val="DefaultParagraphFont"/>
    <w:uiPriority w:val="99"/>
    <w:rsid w:val="008D7FF2"/>
    <w:rPr>
      <w:rFonts w:ascii="GTSectraDisplay-Bold" w:hAnsi="GTSectraDisplay-Bold" w:cs="GTSectraDisplay-Bold"/>
      <w:b/>
      <w:bCs/>
      <w:color w:val="16557C"/>
      <w:spacing w:val="6"/>
      <w:sz w:val="60"/>
      <w:szCs w:val="60"/>
    </w:rPr>
  </w:style>
  <w:style w:type="paragraph" w:customStyle="1" w:styleId="BodycopyLARGE">
    <w:name w:val="Bodycopy_LARGE"/>
    <w:basedOn w:val="Normal"/>
    <w:uiPriority w:val="99"/>
    <w:rsid w:val="002E1B68"/>
    <w:pPr>
      <w:tabs>
        <w:tab w:val="left" w:pos="320"/>
        <w:tab w:val="left" w:pos="660"/>
      </w:tabs>
      <w:suppressAutoHyphens/>
      <w:autoSpaceDE w:val="0"/>
      <w:autoSpaceDN w:val="0"/>
      <w:adjustRightInd w:val="0"/>
      <w:spacing w:after="0" w:line="540" w:lineRule="atLeast"/>
      <w:textAlignment w:val="center"/>
    </w:pPr>
    <w:rPr>
      <w:rFonts w:ascii="GT Walsheim Regular" w:hAnsi="GT Walsheim Regular" w:cs="GT Walsheim Regular"/>
      <w:color w:val="2C2D35"/>
      <w:spacing w:val="-2"/>
      <w:sz w:val="36"/>
      <w:szCs w:val="36"/>
      <w:lang w:val="en-GB"/>
    </w:rPr>
  </w:style>
  <w:style w:type="character" w:customStyle="1" w:styleId="SubHeaderSanSerif">
    <w:name w:val="Sub Header San Serif"/>
    <w:uiPriority w:val="99"/>
    <w:rsid w:val="00510873"/>
    <w:rPr>
      <w:rFonts w:ascii="GT Walsheim Bold" w:hAnsi="GT Walsheim Bold" w:cs="GT Walsheim Bold"/>
      <w:b/>
      <w:bCs/>
      <w:color w:val="2C2D35"/>
      <w:sz w:val="28"/>
      <w:szCs w:val="28"/>
    </w:rPr>
  </w:style>
  <w:style w:type="character" w:customStyle="1" w:styleId="SubheadLARGESerif">
    <w:name w:val="Subhead_LARGE_Serif"/>
    <w:basedOn w:val="HeadingLARGEserif"/>
    <w:uiPriority w:val="99"/>
    <w:rsid w:val="00510873"/>
    <w:rPr>
      <w:rFonts w:ascii="GTSectra-Book" w:hAnsi="GTSectra-Book" w:cs="GTSectra-Book"/>
      <w:b w:val="0"/>
      <w:bCs w:val="0"/>
      <w:color w:val="16557C"/>
      <w:spacing w:val="6"/>
      <w:sz w:val="60"/>
      <w:szCs w:val="60"/>
    </w:rPr>
  </w:style>
  <w:style w:type="character" w:customStyle="1" w:styleId="SubHeaderSmallserif">
    <w:name w:val="Sub Header_Small_serif"/>
    <w:uiPriority w:val="99"/>
    <w:rsid w:val="00510873"/>
    <w:rPr>
      <w:rFonts w:ascii="GTSectra-Book" w:hAnsi="GTSectra-Book" w:cs="GTSectra-Book"/>
      <w:color w:val="2C2D35"/>
      <w:spacing w:val="4"/>
      <w:sz w:val="38"/>
      <w:szCs w:val="38"/>
    </w:rPr>
  </w:style>
  <w:style w:type="character" w:customStyle="1" w:styleId="Headingyellow">
    <w:name w:val="Heading_yellow"/>
    <w:uiPriority w:val="99"/>
    <w:rsid w:val="00C55295"/>
    <w:rPr>
      <w:rFonts w:ascii="GTSectraDisplay-Bold" w:hAnsi="GTSectraDisplay-Bold" w:cs="GTSectraDisplay-Bold"/>
      <w:b/>
      <w:bCs/>
      <w:color w:val="F5E28D"/>
      <w:spacing w:val="6"/>
      <w:sz w:val="60"/>
      <w:szCs w:val="60"/>
    </w:rPr>
  </w:style>
  <w:style w:type="paragraph" w:styleId="BodyText">
    <w:name w:val="Body Text"/>
    <w:basedOn w:val="Normal"/>
    <w:link w:val="BodyTextChar"/>
    <w:uiPriority w:val="1"/>
    <w:qFormat/>
    <w:rsid w:val="007D2F3B"/>
    <w:pPr>
      <w:widowControl w:val="0"/>
      <w:autoSpaceDE w:val="0"/>
      <w:autoSpaceDN w:val="0"/>
      <w:spacing w:after="0" w:line="240" w:lineRule="auto"/>
    </w:pPr>
    <w:rPr>
      <w:rFonts w:ascii="Calibri" w:eastAsia="Calibri" w:hAnsi="Calibri" w:cs="Calibri"/>
      <w:b/>
      <w:bCs/>
      <w:lang w:eastAsia="en-AU" w:bidi="en-AU"/>
    </w:rPr>
  </w:style>
  <w:style w:type="character" w:customStyle="1" w:styleId="BodyTextChar">
    <w:name w:val="Body Text Char"/>
    <w:basedOn w:val="DefaultParagraphFont"/>
    <w:link w:val="BodyText"/>
    <w:uiPriority w:val="1"/>
    <w:rsid w:val="007D2F3B"/>
    <w:rPr>
      <w:rFonts w:ascii="Calibri" w:eastAsia="Calibri" w:hAnsi="Calibri" w:cs="Calibri"/>
      <w:b/>
      <w:bCs/>
      <w:lang w:eastAsia="en-AU" w:bidi="en-AU"/>
    </w:rPr>
  </w:style>
  <w:style w:type="paragraph" w:customStyle="1" w:styleId="TableParagraph">
    <w:name w:val="Table Paragraph"/>
    <w:basedOn w:val="Normal"/>
    <w:uiPriority w:val="1"/>
    <w:qFormat/>
    <w:rsid w:val="007D2F3B"/>
    <w:pPr>
      <w:widowControl w:val="0"/>
      <w:autoSpaceDE w:val="0"/>
      <w:autoSpaceDN w:val="0"/>
      <w:spacing w:after="0" w:line="259" w:lineRule="exact"/>
    </w:pPr>
    <w:rPr>
      <w:rFonts w:ascii="Calibri" w:eastAsia="Calibri" w:hAnsi="Calibri" w:cs="Calibri"/>
      <w:lang w:eastAsia="en-AU" w:bidi="en-AU"/>
    </w:rPr>
  </w:style>
  <w:style w:type="table" w:styleId="TableGrid">
    <w:name w:val="Table Grid"/>
    <w:basedOn w:val="TableNormal"/>
    <w:uiPriority w:val="39"/>
    <w:rsid w:val="00C71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 1"/>
    <w:basedOn w:val="Heading1"/>
    <w:link w:val="header1Char"/>
    <w:autoRedefine/>
    <w:qFormat/>
    <w:rsid w:val="00B81306"/>
    <w:pPr>
      <w:ind w:right="992"/>
    </w:pPr>
    <w:rPr>
      <w:rFonts w:cstheme="minorHAnsi"/>
      <w:color w:val="auto"/>
      <w:sz w:val="96"/>
      <w:szCs w:val="96"/>
    </w:rPr>
  </w:style>
  <w:style w:type="paragraph" w:customStyle="1" w:styleId="body">
    <w:name w:val="body"/>
    <w:basedOn w:val="BodycopyDustyGrey"/>
    <w:link w:val="bodyChar"/>
    <w:qFormat/>
    <w:rsid w:val="00386ABB"/>
    <w:rPr>
      <w:rFonts w:asciiTheme="minorHAnsi" w:hAnsiTheme="minorHAnsi" w:cstheme="minorHAnsi"/>
    </w:rPr>
  </w:style>
  <w:style w:type="character" w:customStyle="1" w:styleId="BasicParagraphChar">
    <w:name w:val="[Basic Paragraph] Char"/>
    <w:basedOn w:val="DefaultParagraphFont"/>
    <w:link w:val="BasicParagraph"/>
    <w:uiPriority w:val="99"/>
    <w:rsid w:val="00466433"/>
    <w:rPr>
      <w:rFonts w:ascii="MinionPro-Regular" w:hAnsi="MinionPro-Regular" w:cs="MinionPro-Regular"/>
      <w:color w:val="000000"/>
      <w:sz w:val="24"/>
      <w:szCs w:val="24"/>
      <w:lang w:val="en-GB"/>
    </w:rPr>
  </w:style>
  <w:style w:type="character" w:customStyle="1" w:styleId="header1Char">
    <w:name w:val="header 1 Char"/>
    <w:basedOn w:val="BasicParagraphChar"/>
    <w:link w:val="header1"/>
    <w:rsid w:val="00B81306"/>
    <w:rPr>
      <w:rFonts w:asciiTheme="majorHAnsi" w:eastAsiaTheme="majorEastAsia" w:hAnsiTheme="majorHAnsi" w:cstheme="minorHAnsi"/>
      <w:color w:val="000000"/>
      <w:sz w:val="96"/>
      <w:szCs w:val="96"/>
      <w:lang w:val="en-GB"/>
    </w:rPr>
  </w:style>
  <w:style w:type="paragraph" w:customStyle="1" w:styleId="header2">
    <w:name w:val="header 2"/>
    <w:basedOn w:val="Heading2"/>
    <w:link w:val="header2Char"/>
    <w:autoRedefine/>
    <w:qFormat/>
    <w:rsid w:val="009E69F0"/>
    <w:pPr>
      <w:suppressAutoHyphens/>
    </w:pPr>
    <w:rPr>
      <w:rFonts w:ascii="Calibri" w:hAnsi="Calibri"/>
      <w:color w:val="auto"/>
      <w:sz w:val="40"/>
    </w:rPr>
  </w:style>
  <w:style w:type="character" w:customStyle="1" w:styleId="BodycopyDustyGreyChar">
    <w:name w:val="Bodycopy_Dusty Grey Char"/>
    <w:basedOn w:val="DefaultParagraphFont"/>
    <w:link w:val="BodycopyDustyGrey"/>
    <w:uiPriority w:val="99"/>
    <w:rsid w:val="00466433"/>
    <w:rPr>
      <w:rFonts w:ascii="GT Walsheim Regular" w:hAnsi="GT Walsheim Regular" w:cs="GT Walsheim Regular"/>
      <w:color w:val="2C2D35"/>
      <w:spacing w:val="-2"/>
      <w:sz w:val="28"/>
      <w:szCs w:val="28"/>
      <w:lang w:val="en-GB"/>
    </w:rPr>
  </w:style>
  <w:style w:type="character" w:customStyle="1" w:styleId="bodyChar">
    <w:name w:val="body Char"/>
    <w:basedOn w:val="BodycopyDustyGreyChar"/>
    <w:link w:val="body"/>
    <w:rsid w:val="00386ABB"/>
    <w:rPr>
      <w:rFonts w:ascii="GT Walsheim Regular" w:hAnsi="GT Walsheim Regular" w:cstheme="minorHAnsi"/>
      <w:color w:val="2C2D35"/>
      <w:spacing w:val="-2"/>
      <w:sz w:val="28"/>
      <w:szCs w:val="28"/>
      <w:lang w:val="en-GB"/>
    </w:rPr>
  </w:style>
  <w:style w:type="character" w:customStyle="1" w:styleId="Heading1Char">
    <w:name w:val="Heading 1 Char"/>
    <w:basedOn w:val="DefaultParagraphFont"/>
    <w:link w:val="Heading1"/>
    <w:uiPriority w:val="9"/>
    <w:rsid w:val="002B757D"/>
    <w:rPr>
      <w:rFonts w:asciiTheme="majorHAnsi" w:eastAsiaTheme="majorEastAsia" w:hAnsiTheme="majorHAnsi" w:cstheme="majorBidi"/>
      <w:color w:val="2F5496" w:themeColor="accent1" w:themeShade="BF"/>
      <w:sz w:val="32"/>
      <w:szCs w:val="32"/>
    </w:rPr>
  </w:style>
  <w:style w:type="character" w:customStyle="1" w:styleId="header2Char">
    <w:name w:val="header 2 Char"/>
    <w:basedOn w:val="BasicParagraphChar"/>
    <w:link w:val="header2"/>
    <w:rsid w:val="009E69F0"/>
    <w:rPr>
      <w:rFonts w:ascii="Calibri" w:eastAsiaTheme="majorEastAsia" w:hAnsi="Calibri" w:cstheme="majorBidi"/>
      <w:color w:val="000000"/>
      <w:sz w:val="40"/>
      <w:szCs w:val="26"/>
      <w:lang w:val="en-GB"/>
    </w:rPr>
  </w:style>
  <w:style w:type="paragraph" w:styleId="TOCHeading">
    <w:name w:val="TOC Heading"/>
    <w:basedOn w:val="Heading1"/>
    <w:next w:val="Normal"/>
    <w:uiPriority w:val="39"/>
    <w:unhideWhenUsed/>
    <w:qFormat/>
    <w:rsid w:val="002B757D"/>
    <w:pPr>
      <w:outlineLvl w:val="9"/>
    </w:pPr>
    <w:rPr>
      <w:lang w:val="en-US"/>
    </w:rPr>
  </w:style>
  <w:style w:type="paragraph" w:styleId="TOC2">
    <w:name w:val="toc 2"/>
    <w:basedOn w:val="Normal"/>
    <w:next w:val="Normal"/>
    <w:autoRedefine/>
    <w:uiPriority w:val="39"/>
    <w:unhideWhenUsed/>
    <w:rsid w:val="002B757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B757D"/>
    <w:pPr>
      <w:spacing w:after="100"/>
    </w:pPr>
    <w:rPr>
      <w:rFonts w:eastAsiaTheme="minorEastAsia" w:cs="Times New Roman"/>
      <w:lang w:val="en-US"/>
    </w:rPr>
  </w:style>
  <w:style w:type="paragraph" w:styleId="TOC3">
    <w:name w:val="toc 3"/>
    <w:basedOn w:val="Normal"/>
    <w:next w:val="Normal"/>
    <w:autoRedefine/>
    <w:uiPriority w:val="39"/>
    <w:unhideWhenUsed/>
    <w:rsid w:val="002B757D"/>
    <w:pPr>
      <w:spacing w:after="100"/>
      <w:ind w:left="440"/>
    </w:pPr>
    <w:rPr>
      <w:rFonts w:eastAsiaTheme="minorEastAsia" w:cs="Times New Roman"/>
      <w:lang w:val="en-US"/>
    </w:rPr>
  </w:style>
  <w:style w:type="character" w:styleId="Hyperlink">
    <w:name w:val="Hyperlink"/>
    <w:basedOn w:val="DefaultParagraphFont"/>
    <w:uiPriority w:val="99"/>
    <w:unhideWhenUsed/>
    <w:rsid w:val="002B757D"/>
    <w:rPr>
      <w:color w:val="0563C1" w:themeColor="hyperlink"/>
      <w:u w:val="single"/>
    </w:rPr>
  </w:style>
  <w:style w:type="character" w:styleId="UnresolvedMention">
    <w:name w:val="Unresolved Mention"/>
    <w:basedOn w:val="DefaultParagraphFont"/>
    <w:uiPriority w:val="99"/>
    <w:semiHidden/>
    <w:unhideWhenUsed/>
    <w:rsid w:val="003E3790"/>
    <w:rPr>
      <w:color w:val="605E5C"/>
      <w:shd w:val="clear" w:color="auto" w:fill="E1DFDD"/>
    </w:rPr>
  </w:style>
  <w:style w:type="character" w:customStyle="1" w:styleId="Heading2Char">
    <w:name w:val="Heading 2 Char"/>
    <w:basedOn w:val="DefaultParagraphFont"/>
    <w:link w:val="Heading2"/>
    <w:uiPriority w:val="9"/>
    <w:semiHidden/>
    <w:rsid w:val="002B757D"/>
    <w:rPr>
      <w:rFonts w:asciiTheme="majorHAnsi" w:eastAsiaTheme="majorEastAsia" w:hAnsiTheme="majorHAnsi" w:cstheme="majorBidi"/>
      <w:color w:val="2F5496" w:themeColor="accent1" w:themeShade="BF"/>
      <w:sz w:val="26"/>
      <w:szCs w:val="26"/>
    </w:rPr>
  </w:style>
  <w:style w:type="paragraph" w:customStyle="1" w:styleId="Default">
    <w:name w:val="Default"/>
    <w:rsid w:val="00C50BCA"/>
    <w:pPr>
      <w:autoSpaceDE w:val="0"/>
      <w:autoSpaceDN w:val="0"/>
      <w:adjustRightInd w:val="0"/>
      <w:spacing w:after="0" w:line="240" w:lineRule="auto"/>
    </w:pPr>
    <w:rPr>
      <w:rFonts w:ascii="GT Walsheim" w:hAnsi="GT Walsheim" w:cs="GT Walsheim"/>
      <w:color w:val="000000"/>
      <w:sz w:val="24"/>
      <w:szCs w:val="24"/>
    </w:rPr>
  </w:style>
  <w:style w:type="paragraph" w:customStyle="1" w:styleId="Pa4">
    <w:name w:val="Pa4"/>
    <w:basedOn w:val="Default"/>
    <w:next w:val="Default"/>
    <w:uiPriority w:val="99"/>
    <w:rsid w:val="00C50BCA"/>
    <w:pPr>
      <w:spacing w:line="361" w:lineRule="atLeast"/>
    </w:pPr>
    <w:rPr>
      <w:rFonts w:cstheme="minorBidi"/>
      <w:color w:val="auto"/>
    </w:rPr>
  </w:style>
  <w:style w:type="character" w:customStyle="1" w:styleId="A5">
    <w:name w:val="A5"/>
    <w:uiPriority w:val="99"/>
    <w:rsid w:val="00C50BCA"/>
    <w:rPr>
      <w:rFonts w:cs="GT Walsheim"/>
      <w:b/>
      <w:bCs/>
      <w:color w:val="2B2B34"/>
      <w:sz w:val="28"/>
      <w:szCs w:val="28"/>
    </w:rPr>
  </w:style>
  <w:style w:type="paragraph" w:customStyle="1" w:styleId="header11">
    <w:name w:val="header 11"/>
    <w:basedOn w:val="header1"/>
    <w:link w:val="header11Char"/>
    <w:qFormat/>
    <w:rsid w:val="0082768C"/>
    <w:rPr>
      <w:b/>
    </w:rPr>
  </w:style>
  <w:style w:type="character" w:customStyle="1" w:styleId="header11Char">
    <w:name w:val="header 11 Char"/>
    <w:basedOn w:val="header1Char"/>
    <w:link w:val="header11"/>
    <w:rsid w:val="0082768C"/>
    <w:rPr>
      <w:rFonts w:ascii="Cambria" w:eastAsiaTheme="majorEastAsia" w:hAnsi="Cambria" w:cstheme="minorHAnsi"/>
      <w:b/>
      <w:bCs w:val="0"/>
      <w:color w:val="000000"/>
      <w:sz w:val="56"/>
      <w:szCs w:val="28"/>
      <w:lang w:val="en-GB"/>
    </w:rPr>
  </w:style>
  <w:style w:type="paragraph" w:styleId="Title">
    <w:name w:val="Title"/>
    <w:basedOn w:val="Normal"/>
    <w:next w:val="Normal"/>
    <w:link w:val="TitleChar"/>
    <w:uiPriority w:val="10"/>
    <w:qFormat/>
    <w:rsid w:val="009E69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9F0"/>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BE7B6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stavantgarde.com.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ooseart.com.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rtsaccess.com.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tsaccess.com.au/annual-repo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4BD94E49325A419602C48B3C4DE531" ma:contentTypeVersion="2" ma:contentTypeDescription="Create a new document." ma:contentTypeScope="" ma:versionID="6f8644f356c6f464f570bb186733ebdb">
  <xsd:schema xmlns:xsd="http://www.w3.org/2001/XMLSchema" xmlns:xs="http://www.w3.org/2001/XMLSchema" xmlns:p="http://schemas.microsoft.com/office/2006/metadata/properties" xmlns:ns2="bca01aa4-71a2-42db-9118-0f0610542229" targetNamespace="http://schemas.microsoft.com/office/2006/metadata/properties" ma:root="true" ma:fieldsID="4529d6a20159a8f606615cec7ad46dc5" ns2:_="">
    <xsd:import namespace="bca01aa4-71a2-42db-9118-0f061054222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01aa4-71a2-42db-9118-0f0610542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8571E-0988-40A5-86F2-BA8AEB7878C0}">
  <ds:schemaRefs>
    <ds:schemaRef ds:uri="http://schemas.microsoft.com/sharepoint/v3/contenttype/forms"/>
  </ds:schemaRefs>
</ds:datastoreItem>
</file>

<file path=customXml/itemProps2.xml><?xml version="1.0" encoding="utf-8"?>
<ds:datastoreItem xmlns:ds="http://schemas.openxmlformats.org/officeDocument/2006/customXml" ds:itemID="{FF9955D7-0955-4094-B112-AB75957CD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01aa4-71a2-42db-9118-0f0610542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3B397-023A-46D3-BD8D-1DE16A6933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DE0C37-A464-4AB7-BA25-0B84F898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6006</Words>
  <Characters>34237</Characters>
  <Application>Microsoft Office Word</Application>
  <DocSecurity>0</DocSecurity>
  <Lines>285</Lines>
  <Paragraphs>80</Paragraphs>
  <ScaleCrop>false</ScaleCrop>
  <Company/>
  <LinksUpToDate>false</LinksUpToDate>
  <CharactersWithSpaces>40163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Knox</dc:creator>
  <cp:keywords/>
  <dc:description/>
  <cp:lastModifiedBy>Sabina Knox</cp:lastModifiedBy>
  <cp:revision>4</cp:revision>
  <dcterms:created xsi:type="dcterms:W3CDTF">2020-04-24T02:16:00Z</dcterms:created>
  <dcterms:modified xsi:type="dcterms:W3CDTF">2020-04-28T02:02:00Z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0x010100FD4BD94E49325A419602C48B3C4DE531</vt:lpwstr>
  </property>
</Properties>
</file>