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BF35" w14:textId="77777777" w:rsidR="001138E4" w:rsidRDefault="001138E4" w:rsidP="001138E4">
      <w:pPr>
        <w:spacing w:before="0" w:after="0"/>
        <w:sectPr w:rsidR="001138E4" w:rsidSect="00123D95">
          <w:headerReference w:type="default" r:id="rId8"/>
          <w:footerReference w:type="default" r:id="rId9"/>
          <w:headerReference w:type="first" r:id="rId10"/>
          <w:footerReference w:type="first" r:id="rId11"/>
          <w:pgSz w:w="11906" w:h="16838"/>
          <w:pgMar w:top="1440" w:right="1440" w:bottom="1440" w:left="1440" w:header="708" w:footer="708" w:gutter="0"/>
          <w:cols w:space="708"/>
          <w:formProt w:val="0"/>
          <w:titlePg/>
          <w:docGrid w:linePitch="360"/>
        </w:sectPr>
      </w:pPr>
    </w:p>
    <w:p w14:paraId="3501CFF3" w14:textId="1BEC0C2A" w:rsidR="008417EC" w:rsidRPr="00A46310" w:rsidRDefault="008417EC" w:rsidP="008417EC">
      <w:pPr>
        <w:pStyle w:val="Heading1"/>
        <w:pBdr>
          <w:bottom w:val="single" w:sz="12" w:space="1" w:color="auto"/>
        </w:pBdr>
      </w:pPr>
      <w:r w:rsidRPr="00A46310">
        <w:t>Position Description</w:t>
      </w:r>
    </w:p>
    <w:p w14:paraId="54F94CC6" w14:textId="423D62F6" w:rsidR="008417EC" w:rsidRPr="00A46310" w:rsidRDefault="008417EC" w:rsidP="008F35AA">
      <w:pPr>
        <w:ind w:left="1985" w:hanging="1985"/>
      </w:pPr>
      <w:r w:rsidRPr="008417EC">
        <w:rPr>
          <w:b/>
          <w:bCs/>
        </w:rPr>
        <w:t>Position Title</w:t>
      </w:r>
      <w:r w:rsidRPr="00A46310">
        <w:t xml:space="preserve">: </w:t>
      </w:r>
      <w:r>
        <w:tab/>
      </w:r>
      <w:r w:rsidR="00C36D3F" w:rsidRPr="004D1CAB">
        <w:rPr>
          <w:rFonts w:cstheme="minorHAnsi"/>
          <w:szCs w:val="24"/>
        </w:rPr>
        <w:t>Board of Management, member</w:t>
      </w:r>
    </w:p>
    <w:p w14:paraId="415BBDF0" w14:textId="63B5932F" w:rsidR="008417EC" w:rsidRPr="00A46310" w:rsidRDefault="008F35AA" w:rsidP="008F35AA">
      <w:pPr>
        <w:ind w:left="1985" w:hanging="1985"/>
      </w:pPr>
      <w:r w:rsidRPr="004D1CAB">
        <w:rPr>
          <w:rFonts w:cstheme="minorHAnsi"/>
          <w:b/>
          <w:bCs/>
          <w:szCs w:val="24"/>
        </w:rPr>
        <w:t>Employment Type</w:t>
      </w:r>
      <w:r>
        <w:rPr>
          <w:rFonts w:cstheme="minorHAnsi"/>
          <w:b/>
          <w:bCs/>
          <w:szCs w:val="24"/>
        </w:rPr>
        <w:t>:</w:t>
      </w:r>
      <w:r w:rsidR="008417EC">
        <w:tab/>
      </w:r>
      <w:r w:rsidRPr="004D1CAB">
        <w:rPr>
          <w:rFonts w:cstheme="minorHAnsi"/>
          <w:szCs w:val="24"/>
        </w:rPr>
        <w:t xml:space="preserve">Five board meetings through the year, plus additional sub-committee meetings or engagements as required </w:t>
      </w:r>
    </w:p>
    <w:p w14:paraId="49A52D1C" w14:textId="7F6ACAF6" w:rsidR="008417EC" w:rsidRPr="008417EC" w:rsidRDefault="008417EC" w:rsidP="008F35AA">
      <w:pPr>
        <w:ind w:left="1985" w:hanging="1985"/>
        <w:rPr>
          <w:rFonts w:cs="Arial"/>
        </w:rPr>
      </w:pPr>
      <w:r w:rsidRPr="008417EC">
        <w:rPr>
          <w:b/>
          <w:bCs/>
        </w:rPr>
        <w:t>Remuneration:</w:t>
      </w:r>
      <w:r w:rsidRPr="00A46310">
        <w:t xml:space="preserve"> </w:t>
      </w:r>
      <w:r>
        <w:tab/>
      </w:r>
      <w:r w:rsidR="008F35AA" w:rsidRPr="004D1CAB">
        <w:rPr>
          <w:rFonts w:cstheme="minorHAnsi"/>
          <w:szCs w:val="24"/>
        </w:rPr>
        <w:t>Volunteer positio</w:t>
      </w:r>
      <w:r w:rsidR="008F35AA">
        <w:rPr>
          <w:rFonts w:cstheme="minorHAnsi"/>
          <w:szCs w:val="24"/>
        </w:rPr>
        <w:t>n</w:t>
      </w:r>
      <w:r w:rsidRPr="00A46310">
        <w:t xml:space="preserve"> </w:t>
      </w:r>
    </w:p>
    <w:p w14:paraId="60C074E5" w14:textId="0A01CC81" w:rsidR="008417EC" w:rsidRDefault="008417EC" w:rsidP="008F35AA">
      <w:pPr>
        <w:pBdr>
          <w:bottom w:val="single" w:sz="12" w:space="14" w:color="auto"/>
        </w:pBdr>
        <w:ind w:left="1985" w:hanging="1985"/>
      </w:pPr>
      <w:r w:rsidRPr="008417EC">
        <w:rPr>
          <w:b/>
          <w:bCs/>
        </w:rPr>
        <w:t>Reports To:</w:t>
      </w:r>
      <w:r w:rsidRPr="00A46310">
        <w:t xml:space="preserve"> </w:t>
      </w:r>
      <w:r>
        <w:tab/>
      </w:r>
      <w:r w:rsidR="008F35AA" w:rsidRPr="004D1CAB">
        <w:rPr>
          <w:rFonts w:cstheme="minorHAnsi"/>
          <w:szCs w:val="24"/>
        </w:rPr>
        <w:t>Chair, Amanda Lawrie-Jones</w:t>
      </w:r>
    </w:p>
    <w:p w14:paraId="528A0381" w14:textId="1EDAD10E" w:rsidR="008417EC" w:rsidRPr="008417EC" w:rsidRDefault="008417EC" w:rsidP="00E159FD">
      <w:pPr>
        <w:pStyle w:val="Heading2"/>
      </w:pPr>
      <w:r w:rsidRPr="008417EC">
        <w:t>Purpose Of Position</w:t>
      </w:r>
    </w:p>
    <w:p w14:paraId="3D5D3B7A" w14:textId="77777777" w:rsidR="008F35AA" w:rsidRPr="004D1CAB" w:rsidRDefault="008F35AA" w:rsidP="008F35AA">
      <w:pPr>
        <w:spacing w:after="120"/>
        <w:rPr>
          <w:rFonts w:cstheme="minorHAnsi"/>
          <w:color w:val="000000" w:themeColor="text1"/>
          <w:szCs w:val="24"/>
        </w:rPr>
      </w:pPr>
      <w:r w:rsidRPr="004D1CAB">
        <w:rPr>
          <w:rFonts w:cstheme="minorHAnsi"/>
          <w:color w:val="000000" w:themeColor="text1"/>
          <w:szCs w:val="24"/>
        </w:rPr>
        <w:t>The Arts Access Victoria (AAV) Vision is for cultural equity for Deaf and Disabled people. Driven by the belief that art can lead change, we want to develop a vibrant arts sector that reflects our society and where Deaf and Disabled people are expected at every level of the artistic landscape.</w:t>
      </w:r>
    </w:p>
    <w:p w14:paraId="3CBF9A14" w14:textId="77777777" w:rsidR="008F35AA" w:rsidRPr="004D1CAB" w:rsidRDefault="008F35AA" w:rsidP="008F35AA">
      <w:pPr>
        <w:spacing w:after="120"/>
        <w:rPr>
          <w:rFonts w:cstheme="minorHAnsi"/>
          <w:color w:val="000000" w:themeColor="text1"/>
          <w:szCs w:val="24"/>
        </w:rPr>
      </w:pPr>
      <w:r w:rsidRPr="004D1CAB">
        <w:rPr>
          <w:rFonts w:cstheme="minorHAnsi"/>
          <w:color w:val="000000" w:themeColor="text1"/>
          <w:szCs w:val="24"/>
        </w:rPr>
        <w:t>AAV’s Board of Management operates according to the following principles of governance:</w:t>
      </w:r>
    </w:p>
    <w:p w14:paraId="1D86B42E" w14:textId="77777777" w:rsidR="008F35AA" w:rsidRPr="004D1CAB" w:rsidRDefault="008F35AA" w:rsidP="008F35AA">
      <w:pPr>
        <w:pStyle w:val="ListParagraph"/>
        <w:widowControl/>
        <w:numPr>
          <w:ilvl w:val="0"/>
          <w:numId w:val="5"/>
        </w:numPr>
        <w:spacing w:before="0" w:after="200" w:line="276" w:lineRule="auto"/>
        <w:contextualSpacing/>
        <w:rPr>
          <w:rFonts w:cstheme="minorHAnsi"/>
          <w:color w:val="000000" w:themeColor="text1"/>
          <w:szCs w:val="24"/>
        </w:rPr>
      </w:pPr>
      <w:r w:rsidRPr="004D1CAB">
        <w:rPr>
          <w:rFonts w:cstheme="minorHAnsi"/>
          <w:color w:val="000000" w:themeColor="text1"/>
          <w:szCs w:val="24"/>
        </w:rPr>
        <w:t xml:space="preserve">that the AAV vision is the central motivation and purpose for all </w:t>
      </w:r>
      <w:proofErr w:type="spellStart"/>
      <w:r w:rsidRPr="004D1CAB">
        <w:rPr>
          <w:rFonts w:cstheme="minorHAnsi"/>
          <w:color w:val="000000" w:themeColor="text1"/>
          <w:szCs w:val="24"/>
        </w:rPr>
        <w:t>organisational</w:t>
      </w:r>
      <w:proofErr w:type="spellEnd"/>
      <w:r w:rsidRPr="004D1CAB">
        <w:rPr>
          <w:rFonts w:cstheme="minorHAnsi"/>
          <w:color w:val="000000" w:themeColor="text1"/>
          <w:szCs w:val="24"/>
        </w:rPr>
        <w:t xml:space="preserve"> activities</w:t>
      </w:r>
    </w:p>
    <w:p w14:paraId="53BB040E" w14:textId="77777777" w:rsidR="008F35AA" w:rsidRPr="004D1CAB" w:rsidRDefault="008F35AA" w:rsidP="008F35AA">
      <w:pPr>
        <w:pStyle w:val="ListParagraph"/>
        <w:widowControl/>
        <w:numPr>
          <w:ilvl w:val="0"/>
          <w:numId w:val="5"/>
        </w:numPr>
        <w:spacing w:before="0" w:after="200" w:line="276" w:lineRule="auto"/>
        <w:contextualSpacing/>
        <w:rPr>
          <w:rFonts w:cstheme="minorHAnsi"/>
          <w:color w:val="000000" w:themeColor="text1"/>
          <w:szCs w:val="24"/>
        </w:rPr>
      </w:pPr>
      <w:r w:rsidRPr="004D1CAB">
        <w:rPr>
          <w:rFonts w:cstheme="minorHAnsi"/>
          <w:color w:val="000000" w:themeColor="text1"/>
          <w:szCs w:val="24"/>
        </w:rPr>
        <w:t xml:space="preserve">that governance of the </w:t>
      </w:r>
      <w:proofErr w:type="spellStart"/>
      <w:r w:rsidRPr="004D1CAB">
        <w:rPr>
          <w:rFonts w:cstheme="minorHAnsi"/>
          <w:color w:val="000000" w:themeColor="text1"/>
          <w:szCs w:val="24"/>
        </w:rPr>
        <w:t>organisation</w:t>
      </w:r>
      <w:proofErr w:type="spellEnd"/>
      <w:r w:rsidRPr="004D1CAB">
        <w:rPr>
          <w:rFonts w:cstheme="minorHAnsi"/>
          <w:color w:val="000000" w:themeColor="text1"/>
          <w:szCs w:val="24"/>
        </w:rPr>
        <w:t xml:space="preserve"> is the responsibility of the Board of Management</w:t>
      </w:r>
    </w:p>
    <w:p w14:paraId="48976188" w14:textId="77777777" w:rsidR="008F35AA" w:rsidRPr="004D1CAB" w:rsidRDefault="008F35AA" w:rsidP="008F35AA">
      <w:pPr>
        <w:spacing w:after="120"/>
        <w:rPr>
          <w:rFonts w:cstheme="minorHAnsi"/>
          <w:color w:val="000000" w:themeColor="text1"/>
          <w:szCs w:val="24"/>
        </w:rPr>
      </w:pPr>
      <w:proofErr w:type="gramStart"/>
      <w:r w:rsidRPr="004D1CAB">
        <w:rPr>
          <w:rFonts w:cstheme="minorHAnsi"/>
          <w:color w:val="000000" w:themeColor="text1"/>
          <w:szCs w:val="24"/>
        </w:rPr>
        <w:t>For the purpose of</w:t>
      </w:r>
      <w:proofErr w:type="gramEnd"/>
      <w:r w:rsidRPr="004D1CAB">
        <w:rPr>
          <w:rFonts w:cstheme="minorHAnsi"/>
          <w:color w:val="000000" w:themeColor="text1"/>
          <w:szCs w:val="24"/>
        </w:rPr>
        <w:t xml:space="preserve"> this document, “governance of the organisation” includes the following Board responsibilities: </w:t>
      </w:r>
    </w:p>
    <w:p w14:paraId="72856D14" w14:textId="77777777" w:rsidR="008F35AA" w:rsidRPr="004D1CAB" w:rsidRDefault="008F35AA" w:rsidP="008F35AA">
      <w:pPr>
        <w:pStyle w:val="ListParagraph"/>
        <w:widowControl/>
        <w:numPr>
          <w:ilvl w:val="0"/>
          <w:numId w:val="6"/>
        </w:numPr>
        <w:spacing w:before="0" w:after="200" w:line="276" w:lineRule="auto"/>
        <w:contextualSpacing/>
        <w:rPr>
          <w:rFonts w:cstheme="minorHAnsi"/>
          <w:color w:val="000000" w:themeColor="text1"/>
          <w:szCs w:val="24"/>
        </w:rPr>
      </w:pPr>
      <w:r w:rsidRPr="004D1CAB">
        <w:rPr>
          <w:rFonts w:cstheme="minorHAnsi"/>
          <w:color w:val="000000" w:themeColor="text1"/>
          <w:szCs w:val="24"/>
        </w:rPr>
        <w:t>legal and financial obligations</w:t>
      </w:r>
    </w:p>
    <w:p w14:paraId="03B68DD5" w14:textId="77777777" w:rsidR="008F35AA" w:rsidRPr="004D1CAB" w:rsidRDefault="008F35AA" w:rsidP="008F35AA">
      <w:pPr>
        <w:pStyle w:val="ListParagraph"/>
        <w:widowControl/>
        <w:numPr>
          <w:ilvl w:val="0"/>
          <w:numId w:val="6"/>
        </w:numPr>
        <w:spacing w:before="0" w:after="200" w:line="276" w:lineRule="auto"/>
        <w:contextualSpacing/>
        <w:rPr>
          <w:rFonts w:cstheme="minorHAnsi"/>
          <w:color w:val="000000" w:themeColor="text1"/>
          <w:szCs w:val="24"/>
        </w:rPr>
      </w:pPr>
      <w:r w:rsidRPr="004D1CAB">
        <w:rPr>
          <w:rFonts w:cstheme="minorHAnsi"/>
          <w:color w:val="000000" w:themeColor="text1"/>
          <w:szCs w:val="24"/>
        </w:rPr>
        <w:t xml:space="preserve">planning, policy development and strategic direction of the </w:t>
      </w:r>
      <w:proofErr w:type="spellStart"/>
      <w:r w:rsidRPr="004D1CAB">
        <w:rPr>
          <w:rFonts w:cstheme="minorHAnsi"/>
          <w:color w:val="000000" w:themeColor="text1"/>
          <w:szCs w:val="24"/>
        </w:rPr>
        <w:t>organisation</w:t>
      </w:r>
      <w:proofErr w:type="spellEnd"/>
    </w:p>
    <w:p w14:paraId="0D6BD7B5" w14:textId="77777777" w:rsidR="008F35AA" w:rsidRPr="004D1CAB" w:rsidRDefault="008F35AA" w:rsidP="008F35AA">
      <w:pPr>
        <w:pStyle w:val="ListParagraph"/>
        <w:widowControl/>
        <w:numPr>
          <w:ilvl w:val="0"/>
          <w:numId w:val="6"/>
        </w:numPr>
        <w:spacing w:before="0" w:after="200" w:line="276" w:lineRule="auto"/>
        <w:contextualSpacing/>
        <w:rPr>
          <w:rFonts w:cstheme="minorHAnsi"/>
          <w:color w:val="000000" w:themeColor="text1"/>
          <w:szCs w:val="24"/>
        </w:rPr>
      </w:pPr>
      <w:r w:rsidRPr="004D1CAB">
        <w:rPr>
          <w:rFonts w:cstheme="minorHAnsi"/>
          <w:color w:val="000000" w:themeColor="text1"/>
          <w:szCs w:val="24"/>
        </w:rPr>
        <w:t xml:space="preserve">monitoring and reporting on </w:t>
      </w:r>
      <w:proofErr w:type="spellStart"/>
      <w:r w:rsidRPr="004D1CAB">
        <w:rPr>
          <w:rFonts w:cstheme="minorHAnsi"/>
          <w:color w:val="000000" w:themeColor="text1"/>
          <w:szCs w:val="24"/>
        </w:rPr>
        <w:t>organisational</w:t>
      </w:r>
      <w:proofErr w:type="spellEnd"/>
      <w:r w:rsidRPr="004D1CAB">
        <w:rPr>
          <w:rFonts w:cstheme="minorHAnsi"/>
          <w:color w:val="000000" w:themeColor="text1"/>
          <w:szCs w:val="24"/>
        </w:rPr>
        <w:t xml:space="preserve"> resourcing and performance</w:t>
      </w:r>
    </w:p>
    <w:p w14:paraId="7D3EFE7C" w14:textId="77777777" w:rsidR="008F35AA" w:rsidRPr="004D1CAB" w:rsidRDefault="008F35AA" w:rsidP="008F35AA">
      <w:pPr>
        <w:pStyle w:val="ListParagraph"/>
        <w:widowControl/>
        <w:numPr>
          <w:ilvl w:val="0"/>
          <w:numId w:val="6"/>
        </w:numPr>
        <w:spacing w:before="0" w:after="200" w:line="276" w:lineRule="auto"/>
        <w:contextualSpacing/>
        <w:rPr>
          <w:rFonts w:cstheme="minorHAnsi"/>
          <w:color w:val="000000" w:themeColor="text1"/>
          <w:szCs w:val="24"/>
        </w:rPr>
      </w:pPr>
      <w:r w:rsidRPr="004D1CAB">
        <w:rPr>
          <w:rFonts w:cstheme="minorHAnsi"/>
          <w:color w:val="000000" w:themeColor="text1"/>
          <w:szCs w:val="24"/>
        </w:rPr>
        <w:t xml:space="preserve">recruitment, </w:t>
      </w:r>
      <w:proofErr w:type="gramStart"/>
      <w:r w:rsidRPr="004D1CAB">
        <w:rPr>
          <w:rFonts w:cstheme="minorHAnsi"/>
          <w:color w:val="000000" w:themeColor="text1"/>
          <w:szCs w:val="24"/>
        </w:rPr>
        <w:t>support</w:t>
      </w:r>
      <w:proofErr w:type="gramEnd"/>
      <w:r w:rsidRPr="004D1CAB">
        <w:rPr>
          <w:rFonts w:cstheme="minorHAnsi"/>
          <w:color w:val="000000" w:themeColor="text1"/>
          <w:szCs w:val="24"/>
        </w:rPr>
        <w:t xml:space="preserve"> and review of the Executive Director</w:t>
      </w:r>
    </w:p>
    <w:p w14:paraId="74B5E30A" w14:textId="77777777" w:rsidR="008F35AA" w:rsidRPr="004D1CAB" w:rsidRDefault="008F35AA" w:rsidP="008F35AA">
      <w:pPr>
        <w:pStyle w:val="ListParagraph"/>
        <w:widowControl/>
        <w:numPr>
          <w:ilvl w:val="0"/>
          <w:numId w:val="6"/>
        </w:numPr>
        <w:spacing w:before="0" w:after="200" w:line="276" w:lineRule="auto"/>
        <w:contextualSpacing/>
        <w:rPr>
          <w:rFonts w:cstheme="minorHAnsi"/>
          <w:color w:val="000000" w:themeColor="text1"/>
          <w:szCs w:val="24"/>
        </w:rPr>
      </w:pPr>
      <w:r w:rsidRPr="004D1CAB">
        <w:rPr>
          <w:rFonts w:cstheme="minorHAnsi"/>
          <w:color w:val="000000" w:themeColor="text1"/>
          <w:szCs w:val="24"/>
        </w:rPr>
        <w:t>recruitment and induction of new Board members</w:t>
      </w:r>
    </w:p>
    <w:p w14:paraId="00D3EA8D" w14:textId="77777777" w:rsidR="008F35AA" w:rsidRPr="004D1CAB" w:rsidRDefault="008F35AA" w:rsidP="008F35AA">
      <w:pPr>
        <w:pStyle w:val="ListParagraph"/>
        <w:widowControl/>
        <w:numPr>
          <w:ilvl w:val="0"/>
          <w:numId w:val="6"/>
        </w:numPr>
        <w:spacing w:before="0" w:after="200" w:line="276" w:lineRule="auto"/>
        <w:contextualSpacing/>
        <w:rPr>
          <w:rFonts w:cstheme="minorHAnsi"/>
          <w:color w:val="000000" w:themeColor="text1"/>
          <w:szCs w:val="24"/>
        </w:rPr>
      </w:pPr>
      <w:r w:rsidRPr="004D1CAB">
        <w:rPr>
          <w:rFonts w:cstheme="minorHAnsi"/>
          <w:color w:val="000000" w:themeColor="text1"/>
          <w:szCs w:val="24"/>
        </w:rPr>
        <w:t>review of Board performance</w:t>
      </w:r>
    </w:p>
    <w:p w14:paraId="1B2DAC0B" w14:textId="7E09557E" w:rsidR="008F35AA" w:rsidRPr="004D1CAB" w:rsidRDefault="008F35AA" w:rsidP="008F35AA">
      <w:pPr>
        <w:rPr>
          <w:rFonts w:cstheme="minorHAnsi"/>
          <w:szCs w:val="24"/>
        </w:rPr>
      </w:pPr>
      <w:r w:rsidRPr="004D1CAB">
        <w:rPr>
          <w:rFonts w:cstheme="minorHAnsi"/>
          <w:szCs w:val="24"/>
        </w:rPr>
        <w:lastRenderedPageBreak/>
        <w:t>It is expected that members of the Arts Access Board of Management will bring to their role the following qualities:</w:t>
      </w:r>
    </w:p>
    <w:p w14:paraId="422DF192"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Dedication to the mission and work of Arts Access</w:t>
      </w:r>
    </w:p>
    <w:p w14:paraId="77994421"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Ethical attitude to Arts Access policy and operations</w:t>
      </w:r>
    </w:p>
    <w:p w14:paraId="4DD79AE0"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Demonstrated financial knowledge</w:t>
      </w:r>
    </w:p>
    <w:p w14:paraId="635D6B00"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Established and relevant networking capacities</w:t>
      </w:r>
    </w:p>
    <w:p w14:paraId="3E3951A3" w14:textId="3F8DA295" w:rsidR="008F35AA" w:rsidRPr="008F35AA" w:rsidRDefault="008F35AA" w:rsidP="00E159FD">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Support for, and recognition of, the valuable contribution made by Arts Access staff and volunteers.</w:t>
      </w:r>
    </w:p>
    <w:p w14:paraId="565C402B" w14:textId="56921B97" w:rsidR="008417EC" w:rsidRPr="00A46310" w:rsidRDefault="008417EC" w:rsidP="00E159FD">
      <w:pPr>
        <w:rPr>
          <w:rFonts w:ascii="Calibri" w:hAnsi="Calibri" w:cs="Arial"/>
          <w:b/>
          <w:szCs w:val="24"/>
          <w:highlight w:val="yellow"/>
        </w:rPr>
      </w:pPr>
      <w:r w:rsidRPr="00A46310">
        <w:rPr>
          <w:rFonts w:ascii="Calibri" w:hAnsi="Calibri" w:cs="Arial"/>
          <w:b/>
          <w:szCs w:val="24"/>
        </w:rPr>
        <w:t>Terms Of Employment</w:t>
      </w:r>
    </w:p>
    <w:p w14:paraId="0455E831" w14:textId="77777777" w:rsidR="008F35AA" w:rsidRPr="004D1CAB" w:rsidRDefault="008F35AA" w:rsidP="008F35AA">
      <w:pPr>
        <w:rPr>
          <w:rFonts w:cstheme="minorHAnsi"/>
          <w:bCs/>
          <w:szCs w:val="24"/>
        </w:rPr>
      </w:pPr>
      <w:r w:rsidRPr="004D1CAB">
        <w:rPr>
          <w:rFonts w:cstheme="minorHAnsi"/>
          <w:bCs/>
          <w:szCs w:val="24"/>
        </w:rPr>
        <w:t xml:space="preserve">This position is a volunteer role.  </w:t>
      </w:r>
    </w:p>
    <w:p w14:paraId="1EF43E52" w14:textId="6ED5D192" w:rsidR="008417EC" w:rsidRPr="00A46310" w:rsidRDefault="008417EC" w:rsidP="00E159FD">
      <w:pPr>
        <w:rPr>
          <w:rFonts w:ascii="Calibri" w:hAnsi="Calibri" w:cs="Arial"/>
          <w:b/>
          <w:szCs w:val="24"/>
        </w:rPr>
      </w:pPr>
      <w:r w:rsidRPr="00A46310">
        <w:rPr>
          <w:rFonts w:ascii="Calibri" w:hAnsi="Calibri" w:cs="Arial"/>
          <w:b/>
          <w:szCs w:val="24"/>
        </w:rPr>
        <w:t>location</w:t>
      </w:r>
    </w:p>
    <w:p w14:paraId="5F52757F" w14:textId="77777777" w:rsidR="008F35AA" w:rsidRPr="004D1CAB" w:rsidRDefault="008F35AA" w:rsidP="008F35AA">
      <w:pPr>
        <w:rPr>
          <w:rFonts w:cstheme="minorHAnsi"/>
          <w:szCs w:val="24"/>
        </w:rPr>
      </w:pPr>
      <w:r w:rsidRPr="004D1CAB">
        <w:rPr>
          <w:rFonts w:cstheme="minorHAnsi"/>
          <w:szCs w:val="24"/>
        </w:rPr>
        <w:t xml:space="preserve">The position is primarily based in Arts Access Victoria’s offices (currently located at 222 Bank Street South Melbourne) or working from home when we are unable to attend office. </w:t>
      </w:r>
    </w:p>
    <w:p w14:paraId="7FADDF34" w14:textId="3AF2BEF7" w:rsidR="008417EC" w:rsidRPr="00A46310" w:rsidRDefault="008417EC" w:rsidP="00E159FD">
      <w:pPr>
        <w:pStyle w:val="Heading2"/>
        <w:rPr>
          <w:bCs/>
        </w:rPr>
      </w:pPr>
      <w:r w:rsidRPr="00A46310">
        <w:t>About Arts Access Victoria</w:t>
      </w:r>
    </w:p>
    <w:p w14:paraId="5BEF8BE6" w14:textId="776D3592" w:rsidR="008F35AA" w:rsidRPr="004D1CAB" w:rsidRDefault="008F35AA" w:rsidP="008F35AA">
      <w:pPr>
        <w:rPr>
          <w:rFonts w:cstheme="minorHAnsi"/>
          <w:szCs w:val="24"/>
        </w:rPr>
      </w:pPr>
      <w:r w:rsidRPr="004D1CAB">
        <w:rPr>
          <w:rFonts w:cstheme="minorHAnsi"/>
          <w:szCs w:val="24"/>
        </w:rPr>
        <w:t>Established in 1974, Arts Access Victoria (AAV) has since become the state’s leading arts and disability organization. AAV’s work diversifies the bodies, thinking and ways of being usually experienced in arts and cultural spaces. New aesthetics are on view and experienced, the stories offered are often unfamiliar or regularly told by others. Our stories are authentic and ours to tell.</w:t>
      </w:r>
    </w:p>
    <w:p w14:paraId="0FD6D066" w14:textId="77777777" w:rsidR="008F35AA" w:rsidRPr="004D1CAB" w:rsidRDefault="008F35AA" w:rsidP="008F35AA">
      <w:pPr>
        <w:rPr>
          <w:rFonts w:cstheme="minorHAnsi"/>
          <w:szCs w:val="24"/>
        </w:rPr>
      </w:pPr>
      <w:r w:rsidRPr="004D1CAB">
        <w:rPr>
          <w:rFonts w:cstheme="minorHAnsi"/>
          <w:szCs w:val="24"/>
        </w:rPr>
        <w:t xml:space="preserve">The organisation achieves this vision through: disability led advocacy; the delivery of outstanding community arts and cultural development programs for Deaf and Disabled artists; professional development programs for Deaf and Disabled artists and </w:t>
      </w:r>
      <w:proofErr w:type="spellStart"/>
      <w:r w:rsidRPr="004D1CAB">
        <w:rPr>
          <w:rFonts w:cstheme="minorHAnsi"/>
          <w:szCs w:val="24"/>
        </w:rPr>
        <w:t>artsworkers</w:t>
      </w:r>
      <w:proofErr w:type="spellEnd"/>
      <w:r w:rsidRPr="004D1CAB">
        <w:rPr>
          <w:rFonts w:cstheme="minorHAnsi"/>
          <w:szCs w:val="24"/>
        </w:rPr>
        <w:t xml:space="preserve"> aimed at securing employment outcomes and best practice industry development initiatives that drive the engagement of organisations across the creative, disability and community sectors. Information about the organisation can be found at </w:t>
      </w:r>
      <w:hyperlink r:id="rId12" w:history="1">
        <w:r w:rsidRPr="004D1CAB">
          <w:rPr>
            <w:rFonts w:cstheme="minorHAnsi"/>
            <w:color w:val="0000FF"/>
            <w:szCs w:val="24"/>
            <w:u w:val="single"/>
          </w:rPr>
          <w:t>www.artsaccess.com.au</w:t>
        </w:r>
      </w:hyperlink>
      <w:r w:rsidRPr="004D1CAB">
        <w:rPr>
          <w:rFonts w:cstheme="minorHAnsi"/>
          <w:szCs w:val="24"/>
        </w:rPr>
        <w:t xml:space="preserve"> .</w:t>
      </w:r>
    </w:p>
    <w:p w14:paraId="62B212E8" w14:textId="2B65D1AD" w:rsidR="008417EC" w:rsidRPr="00A46310" w:rsidRDefault="008417EC" w:rsidP="00E159FD">
      <w:pPr>
        <w:pStyle w:val="Heading2"/>
      </w:pPr>
      <w:r w:rsidRPr="00A46310">
        <w:t>Environment</w:t>
      </w:r>
    </w:p>
    <w:p w14:paraId="55625C26" w14:textId="77777777" w:rsidR="008F35AA" w:rsidRPr="004D1CAB" w:rsidRDefault="008F35AA" w:rsidP="008F35AA">
      <w:pPr>
        <w:rPr>
          <w:rFonts w:cstheme="minorHAnsi"/>
          <w:szCs w:val="24"/>
        </w:rPr>
      </w:pPr>
      <w:r w:rsidRPr="004D1CAB">
        <w:rPr>
          <w:rFonts w:cstheme="minorHAnsi"/>
          <w:szCs w:val="24"/>
        </w:rPr>
        <w:t xml:space="preserve">Arts Access Victoria is committed to a disability-led, friendly, </w:t>
      </w:r>
      <w:proofErr w:type="gramStart"/>
      <w:r w:rsidRPr="004D1CAB">
        <w:rPr>
          <w:rFonts w:cstheme="minorHAnsi"/>
          <w:szCs w:val="24"/>
        </w:rPr>
        <w:t>relaxed</w:t>
      </w:r>
      <w:proofErr w:type="gramEnd"/>
      <w:r w:rsidRPr="004D1CAB">
        <w:rPr>
          <w:rFonts w:cstheme="minorHAnsi"/>
          <w:szCs w:val="24"/>
        </w:rPr>
        <w:t xml:space="preserve"> and open workplace. </w:t>
      </w:r>
    </w:p>
    <w:p w14:paraId="3975F0D3" w14:textId="77777777" w:rsidR="008F35AA" w:rsidRPr="004D1CAB" w:rsidRDefault="008F35AA" w:rsidP="008F35AA">
      <w:pPr>
        <w:rPr>
          <w:rFonts w:cstheme="minorHAnsi"/>
          <w:szCs w:val="24"/>
        </w:rPr>
      </w:pPr>
      <w:r w:rsidRPr="004D1CAB">
        <w:rPr>
          <w:rFonts w:cstheme="minorHAnsi"/>
          <w:szCs w:val="24"/>
        </w:rPr>
        <w:t xml:space="preserve">All Arts Access Victoria board members are expected to embrace our vision, and work towards best practice </w:t>
      </w:r>
      <w:proofErr w:type="gramStart"/>
      <w:r w:rsidRPr="004D1CAB">
        <w:rPr>
          <w:rFonts w:cstheme="minorHAnsi"/>
          <w:szCs w:val="24"/>
        </w:rPr>
        <w:t>in regard to</w:t>
      </w:r>
      <w:proofErr w:type="gramEnd"/>
      <w:r w:rsidRPr="004D1CAB">
        <w:rPr>
          <w:rFonts w:cstheme="minorHAnsi"/>
          <w:szCs w:val="24"/>
        </w:rPr>
        <w:t xml:space="preserve"> increasing access to the arts for all Victorians. </w:t>
      </w:r>
    </w:p>
    <w:p w14:paraId="7CA4B261" w14:textId="77777777" w:rsidR="008F35AA" w:rsidRPr="004D1CAB" w:rsidRDefault="008F35AA" w:rsidP="008F35AA">
      <w:pPr>
        <w:spacing w:before="100" w:beforeAutospacing="1" w:after="100" w:afterAutospacing="1"/>
        <w:rPr>
          <w:rFonts w:cstheme="minorHAnsi"/>
          <w:szCs w:val="24"/>
        </w:rPr>
      </w:pPr>
      <w:r w:rsidRPr="004D1CAB">
        <w:rPr>
          <w:rFonts w:cstheme="minorHAnsi"/>
          <w:szCs w:val="24"/>
        </w:rPr>
        <w:lastRenderedPageBreak/>
        <w:t>The Board embraces access and equity through the essential roles of governance and leadership that are underpinned by a comprehensive set of policies, procedures, and delegated authority.</w:t>
      </w:r>
    </w:p>
    <w:p w14:paraId="555C2A60" w14:textId="77777777" w:rsidR="008F35AA" w:rsidRPr="004D1CAB" w:rsidRDefault="008F35AA" w:rsidP="008F35AA">
      <w:pPr>
        <w:rPr>
          <w:rFonts w:cstheme="minorHAnsi"/>
          <w:szCs w:val="24"/>
        </w:rPr>
      </w:pPr>
      <w:r w:rsidRPr="004D1CAB">
        <w:rPr>
          <w:rFonts w:cstheme="minorHAnsi"/>
          <w:szCs w:val="24"/>
        </w:rPr>
        <w:t xml:space="preserve">Arts Access Victoria is committed to a policy of equal opportunity in employment and accepts that it has a responsibility to create an environment free from discrimination. The principle of merit is highly valued, and we aim to provide affirmative action in the employment of people with disability. We will act to ensure that our structures are free from direct or indirect discrimination on the grounds of sex, marital status, race, age, disability, religious or sexual orientation. </w:t>
      </w:r>
    </w:p>
    <w:p w14:paraId="5B8EB46C" w14:textId="08C8700F" w:rsidR="008417EC" w:rsidRPr="00A46310" w:rsidRDefault="008417EC" w:rsidP="00E159FD">
      <w:pPr>
        <w:rPr>
          <w:rFonts w:ascii="Calibri" w:hAnsi="Calibri" w:cs="Arial"/>
          <w:b/>
          <w:szCs w:val="24"/>
        </w:rPr>
      </w:pPr>
      <w:r w:rsidRPr="00A46310">
        <w:rPr>
          <w:rFonts w:ascii="Calibri" w:hAnsi="Calibri" w:cs="Arial"/>
          <w:b/>
          <w:szCs w:val="24"/>
        </w:rPr>
        <w:t>Safety Screening</w:t>
      </w:r>
    </w:p>
    <w:p w14:paraId="3BB6A2F3" w14:textId="77777777" w:rsidR="008F35AA" w:rsidRPr="008F35AA" w:rsidRDefault="008F35AA" w:rsidP="008F35AA">
      <w:r w:rsidRPr="004D1CAB">
        <w:t xml:space="preserve">Please note that safety screening is undertaken for all positions within the organisation as part of its contractual arrangements with government. All volunteers are obliged to fully </w:t>
      </w:r>
      <w:r w:rsidRPr="008F35AA">
        <w:t>disclose relevant information and screening is undertaken as part of recruitment procedures.</w:t>
      </w:r>
    </w:p>
    <w:p w14:paraId="418BB76C" w14:textId="5FF456E6" w:rsidR="008417EC" w:rsidRPr="008F35AA" w:rsidRDefault="008417EC" w:rsidP="008F35AA">
      <w:pPr>
        <w:pStyle w:val="Heading2"/>
      </w:pPr>
      <w:r w:rsidRPr="008F35AA">
        <w:t>Reporting Relationships:</w:t>
      </w:r>
    </w:p>
    <w:p w14:paraId="6B5AAC14" w14:textId="46E9630A" w:rsidR="008417EC" w:rsidRPr="00A46310" w:rsidRDefault="008417EC" w:rsidP="00E159FD">
      <w:pPr>
        <w:spacing w:line="276" w:lineRule="auto"/>
        <w:rPr>
          <w:rFonts w:ascii="Calibri" w:hAnsi="Calibri"/>
          <w:szCs w:val="24"/>
        </w:rPr>
      </w:pPr>
      <w:r w:rsidRPr="00A46310">
        <w:rPr>
          <w:rFonts w:ascii="Calibri" w:hAnsi="Calibri"/>
          <w:szCs w:val="24"/>
        </w:rPr>
        <w:t xml:space="preserve">This position reports directly to the </w:t>
      </w:r>
      <w:r>
        <w:rPr>
          <w:rFonts w:ascii="Calibri" w:hAnsi="Calibri"/>
          <w:szCs w:val="24"/>
        </w:rPr>
        <w:t>CEO/AD</w:t>
      </w:r>
      <w:r w:rsidRPr="00A46310">
        <w:rPr>
          <w:rFonts w:ascii="Calibri" w:hAnsi="Calibri"/>
          <w:szCs w:val="24"/>
        </w:rPr>
        <w:t xml:space="preserve"> but works closely with all teams within the organisation. It has a small team of part-time and casual direct reports.</w:t>
      </w:r>
    </w:p>
    <w:p w14:paraId="10886D29" w14:textId="60BB4FD7" w:rsidR="008417EC" w:rsidRPr="00A46310" w:rsidRDefault="008417EC" w:rsidP="00E159FD">
      <w:pPr>
        <w:numPr>
          <w:ilvl w:val="12"/>
          <w:numId w:val="0"/>
        </w:numPr>
        <w:spacing w:line="276" w:lineRule="auto"/>
        <w:rPr>
          <w:rFonts w:ascii="Calibri" w:hAnsi="Calibri"/>
          <w:b/>
          <w:szCs w:val="24"/>
        </w:rPr>
      </w:pPr>
      <w:r w:rsidRPr="00A46310">
        <w:rPr>
          <w:rFonts w:ascii="Calibri" w:hAnsi="Calibri"/>
          <w:b/>
          <w:szCs w:val="24"/>
        </w:rPr>
        <w:t>Major Tasks:</w:t>
      </w:r>
    </w:p>
    <w:p w14:paraId="25EAA104" w14:textId="77777777" w:rsidR="008F35AA" w:rsidRPr="004D1CAB" w:rsidRDefault="008F35AA" w:rsidP="008F35AA">
      <w:pPr>
        <w:spacing w:after="200" w:line="276" w:lineRule="auto"/>
        <w:contextualSpacing/>
        <w:rPr>
          <w:rFonts w:cstheme="minorHAnsi"/>
          <w:szCs w:val="24"/>
        </w:rPr>
      </w:pPr>
      <w:r w:rsidRPr="004D1CAB">
        <w:rPr>
          <w:rFonts w:cstheme="minorHAnsi"/>
          <w:szCs w:val="24"/>
        </w:rPr>
        <w:t>The primary role of the Board is to ensure that the management of the organisation continuously and effectively strives to meet the vision and purpose of the organisation, including its responsibilities to its funding bodies and all other stakeholders. More particularly, the role of the Board is to:</w:t>
      </w:r>
    </w:p>
    <w:p w14:paraId="352FD7F1"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 xml:space="preserve">Set the goals and objectives of the </w:t>
      </w:r>
      <w:proofErr w:type="spellStart"/>
      <w:r w:rsidRPr="004D1CAB">
        <w:rPr>
          <w:rFonts w:cstheme="minorHAnsi"/>
          <w:szCs w:val="24"/>
        </w:rPr>
        <w:t>organisation</w:t>
      </w:r>
      <w:proofErr w:type="spellEnd"/>
    </w:p>
    <w:p w14:paraId="077C08F4"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 xml:space="preserve">Appoint and support the AAV CEO, regularly review their performance </w:t>
      </w:r>
    </w:p>
    <w:p w14:paraId="3C70284C"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 xml:space="preserve">Contribute to the development, and ensure the implementation of, adequate plans and effective strategies for the acquisition and </w:t>
      </w:r>
      <w:proofErr w:type="spellStart"/>
      <w:r w:rsidRPr="004D1CAB">
        <w:rPr>
          <w:rFonts w:cstheme="minorHAnsi"/>
          <w:szCs w:val="24"/>
        </w:rPr>
        <w:t>organisation</w:t>
      </w:r>
      <w:proofErr w:type="spellEnd"/>
      <w:r w:rsidRPr="004D1CAB">
        <w:rPr>
          <w:rFonts w:cstheme="minorHAnsi"/>
          <w:szCs w:val="24"/>
        </w:rPr>
        <w:t xml:space="preserve"> of financial and human resources to advance AAV’s vision and purpose</w:t>
      </w:r>
    </w:p>
    <w:p w14:paraId="35C6B32B"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 xml:space="preserve">Ensure that AAV complies with all laws but </w:t>
      </w:r>
      <w:proofErr w:type="gramStart"/>
      <w:r w:rsidRPr="004D1CAB">
        <w:rPr>
          <w:rFonts w:cstheme="minorHAnsi"/>
          <w:szCs w:val="24"/>
        </w:rPr>
        <w:t>in particular those</w:t>
      </w:r>
      <w:proofErr w:type="gramEnd"/>
      <w:r w:rsidRPr="004D1CAB">
        <w:rPr>
          <w:rFonts w:cstheme="minorHAnsi"/>
          <w:szCs w:val="24"/>
        </w:rPr>
        <w:t xml:space="preserve"> relating to incorporated associations laws, employment, financial reporting, occupation health and safety, </w:t>
      </w:r>
      <w:r w:rsidRPr="00D45CD5">
        <w:rPr>
          <w:rFonts w:cstheme="minorHAnsi"/>
          <w:szCs w:val="24"/>
        </w:rPr>
        <w:t>disability</w:t>
      </w:r>
      <w:r w:rsidRPr="004D1CAB">
        <w:rPr>
          <w:rFonts w:cstheme="minorHAnsi"/>
          <w:szCs w:val="24"/>
        </w:rPr>
        <w:t xml:space="preserve"> discrimination and other discrimination. </w:t>
      </w:r>
    </w:p>
    <w:p w14:paraId="22D43E02"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t xml:space="preserve">Review, at regular intervals, the </w:t>
      </w:r>
      <w:proofErr w:type="spellStart"/>
      <w:r w:rsidRPr="004D1CAB">
        <w:rPr>
          <w:rFonts w:cstheme="minorHAnsi"/>
          <w:szCs w:val="24"/>
        </w:rPr>
        <w:t>organisation's</w:t>
      </w:r>
      <w:proofErr w:type="spellEnd"/>
      <w:r w:rsidRPr="004D1CAB">
        <w:rPr>
          <w:rFonts w:cstheme="minorHAnsi"/>
          <w:szCs w:val="24"/>
        </w:rPr>
        <w:t xml:space="preserve"> progress towards its vision and purpose</w:t>
      </w:r>
    </w:p>
    <w:p w14:paraId="435B8DD8" w14:textId="77777777" w:rsidR="008F35AA" w:rsidRPr="004D1CAB" w:rsidRDefault="008F35AA" w:rsidP="008F35AA">
      <w:pPr>
        <w:pStyle w:val="ListParagraph"/>
        <w:widowControl/>
        <w:numPr>
          <w:ilvl w:val="0"/>
          <w:numId w:val="7"/>
        </w:numPr>
        <w:tabs>
          <w:tab w:val="left" w:pos="720"/>
        </w:tabs>
        <w:spacing w:before="0" w:after="200" w:line="276" w:lineRule="auto"/>
        <w:contextualSpacing/>
        <w:rPr>
          <w:rFonts w:cstheme="minorHAnsi"/>
          <w:szCs w:val="24"/>
        </w:rPr>
      </w:pPr>
      <w:r w:rsidRPr="004D1CAB">
        <w:rPr>
          <w:rFonts w:cstheme="minorHAnsi"/>
          <w:szCs w:val="24"/>
        </w:rPr>
        <w:lastRenderedPageBreak/>
        <w:t xml:space="preserve">Report to AAV’s stakeholders (members, funding bodies, sponsors, </w:t>
      </w:r>
      <w:proofErr w:type="spellStart"/>
      <w:r w:rsidRPr="004D1CAB">
        <w:rPr>
          <w:rFonts w:cstheme="minorHAnsi"/>
          <w:szCs w:val="24"/>
        </w:rPr>
        <w:t>etc</w:t>
      </w:r>
      <w:proofErr w:type="spellEnd"/>
      <w:r w:rsidRPr="004D1CAB">
        <w:rPr>
          <w:rFonts w:cstheme="minorHAnsi"/>
          <w:szCs w:val="24"/>
        </w:rPr>
        <w:t xml:space="preserve">) on the activities and operations of the </w:t>
      </w:r>
      <w:proofErr w:type="spellStart"/>
      <w:r w:rsidRPr="004D1CAB">
        <w:rPr>
          <w:rFonts w:cstheme="minorHAnsi"/>
          <w:szCs w:val="24"/>
        </w:rPr>
        <w:t>organisation</w:t>
      </w:r>
      <w:proofErr w:type="spellEnd"/>
      <w:r w:rsidRPr="004D1CAB">
        <w:rPr>
          <w:rFonts w:cstheme="minorHAnsi"/>
          <w:szCs w:val="24"/>
        </w:rPr>
        <w:t>.</w:t>
      </w:r>
    </w:p>
    <w:p w14:paraId="452ACE96" w14:textId="53C630BA" w:rsidR="008417EC" w:rsidRPr="00A46310" w:rsidRDefault="008417EC" w:rsidP="00E159FD">
      <w:pPr>
        <w:pStyle w:val="Heading2"/>
      </w:pPr>
      <w:r w:rsidRPr="00A46310">
        <w:t>Selection Criteria</w:t>
      </w:r>
    </w:p>
    <w:p w14:paraId="5A252EA3" w14:textId="77777777" w:rsidR="008F35AA" w:rsidRPr="004D1CAB" w:rsidRDefault="008F35AA" w:rsidP="008F35AA">
      <w:pPr>
        <w:spacing w:after="100" w:line="276" w:lineRule="auto"/>
        <w:rPr>
          <w:rFonts w:cstheme="minorHAnsi"/>
          <w:szCs w:val="24"/>
        </w:rPr>
      </w:pPr>
      <w:r w:rsidRPr="004D1CAB">
        <w:rPr>
          <w:rFonts w:cstheme="minorHAnsi"/>
          <w:szCs w:val="24"/>
        </w:rPr>
        <w:t>Mandatory:</w:t>
      </w:r>
    </w:p>
    <w:p w14:paraId="5F7B09CA" w14:textId="77777777" w:rsidR="008F35AA" w:rsidRDefault="008F35AA" w:rsidP="008F35AA">
      <w:pPr>
        <w:numPr>
          <w:ilvl w:val="0"/>
          <w:numId w:val="4"/>
        </w:numPr>
        <w:overflowPunct w:val="0"/>
        <w:autoSpaceDE w:val="0"/>
        <w:autoSpaceDN w:val="0"/>
        <w:adjustRightInd w:val="0"/>
        <w:spacing w:before="0" w:after="100" w:line="276" w:lineRule="auto"/>
        <w:jc w:val="both"/>
        <w:textAlignment w:val="baseline"/>
        <w:rPr>
          <w:rFonts w:cstheme="minorHAnsi"/>
          <w:b/>
          <w:szCs w:val="24"/>
        </w:rPr>
      </w:pPr>
      <w:r w:rsidRPr="004D1CAB">
        <w:rPr>
          <w:rFonts w:cstheme="minorHAnsi"/>
          <w:szCs w:val="24"/>
        </w:rPr>
        <w:t>Understanding of the Social Model of Disability and its impact on access in the arts</w:t>
      </w:r>
    </w:p>
    <w:p w14:paraId="0E337DC7" w14:textId="77777777" w:rsidR="008F35AA" w:rsidRPr="004D1CAB" w:rsidRDefault="008F35AA" w:rsidP="008F35AA">
      <w:pPr>
        <w:numPr>
          <w:ilvl w:val="0"/>
          <w:numId w:val="4"/>
        </w:numPr>
        <w:overflowPunct w:val="0"/>
        <w:autoSpaceDE w:val="0"/>
        <w:autoSpaceDN w:val="0"/>
        <w:adjustRightInd w:val="0"/>
        <w:spacing w:before="0" w:after="100" w:line="276" w:lineRule="auto"/>
        <w:jc w:val="both"/>
        <w:textAlignment w:val="baseline"/>
        <w:rPr>
          <w:rFonts w:cstheme="minorHAnsi"/>
          <w:b/>
          <w:szCs w:val="24"/>
        </w:rPr>
      </w:pPr>
      <w:r w:rsidRPr="004D1CAB">
        <w:rPr>
          <w:rFonts w:cstheme="minorHAnsi"/>
          <w:szCs w:val="24"/>
        </w:rPr>
        <w:t>A philosophy that demonstrates a commitment to the rights of people with disability</w:t>
      </w:r>
    </w:p>
    <w:p w14:paraId="686CE447" w14:textId="77777777" w:rsidR="008F35AA" w:rsidRPr="004D1CAB" w:rsidRDefault="008F35AA" w:rsidP="008F35AA">
      <w:pPr>
        <w:numPr>
          <w:ilvl w:val="0"/>
          <w:numId w:val="8"/>
        </w:numPr>
        <w:spacing w:before="0" w:after="200" w:line="276" w:lineRule="auto"/>
        <w:contextualSpacing/>
        <w:rPr>
          <w:rFonts w:cstheme="minorHAnsi"/>
          <w:szCs w:val="24"/>
        </w:rPr>
      </w:pPr>
      <w:r w:rsidRPr="004D1CAB">
        <w:rPr>
          <w:rFonts w:cstheme="minorHAnsi"/>
          <w:szCs w:val="24"/>
        </w:rPr>
        <w:t>Demonstrated experience in arts &amp;culture and/or inclusive arts projects</w:t>
      </w:r>
    </w:p>
    <w:p w14:paraId="347E5F58" w14:textId="77777777" w:rsidR="008F35AA" w:rsidRPr="004D1CAB" w:rsidRDefault="008F35AA" w:rsidP="008F35AA">
      <w:pPr>
        <w:numPr>
          <w:ilvl w:val="0"/>
          <w:numId w:val="3"/>
        </w:numPr>
        <w:overflowPunct w:val="0"/>
        <w:autoSpaceDE w:val="0"/>
        <w:autoSpaceDN w:val="0"/>
        <w:adjustRightInd w:val="0"/>
        <w:spacing w:before="0" w:after="100" w:line="276" w:lineRule="auto"/>
        <w:textAlignment w:val="baseline"/>
        <w:rPr>
          <w:rFonts w:cstheme="minorHAnsi"/>
          <w:color w:val="000000" w:themeColor="text1"/>
          <w:szCs w:val="24"/>
        </w:rPr>
      </w:pPr>
      <w:r w:rsidRPr="004D1CAB">
        <w:rPr>
          <w:rFonts w:cstheme="minorHAnsi"/>
          <w:color w:val="000000" w:themeColor="text1"/>
          <w:szCs w:val="24"/>
        </w:rPr>
        <w:t>Existing networks across the Victorian arts and cultural sector</w:t>
      </w:r>
    </w:p>
    <w:p w14:paraId="264C7E4F" w14:textId="77777777" w:rsidR="008417EC" w:rsidRPr="00A46310" w:rsidRDefault="008417EC" w:rsidP="00E159FD">
      <w:pPr>
        <w:spacing w:after="100" w:line="276" w:lineRule="auto"/>
        <w:rPr>
          <w:rFonts w:ascii="Calibri" w:hAnsi="Calibri"/>
          <w:szCs w:val="24"/>
        </w:rPr>
      </w:pPr>
      <w:r w:rsidRPr="00A46310">
        <w:rPr>
          <w:rFonts w:ascii="Calibri" w:hAnsi="Calibri"/>
          <w:szCs w:val="24"/>
        </w:rPr>
        <w:t>Desirable:</w:t>
      </w:r>
    </w:p>
    <w:p w14:paraId="002D80D5" w14:textId="77777777" w:rsidR="008F35AA" w:rsidRPr="004D1CAB" w:rsidRDefault="008F35AA" w:rsidP="008F35AA">
      <w:pPr>
        <w:numPr>
          <w:ilvl w:val="0"/>
          <w:numId w:val="4"/>
        </w:numPr>
        <w:overflowPunct w:val="0"/>
        <w:autoSpaceDE w:val="0"/>
        <w:autoSpaceDN w:val="0"/>
        <w:adjustRightInd w:val="0"/>
        <w:spacing w:before="0" w:after="100" w:line="276" w:lineRule="auto"/>
        <w:textAlignment w:val="baseline"/>
        <w:rPr>
          <w:rFonts w:cstheme="minorHAnsi"/>
          <w:color w:val="000000" w:themeColor="text1"/>
          <w:szCs w:val="24"/>
        </w:rPr>
      </w:pPr>
      <w:r w:rsidRPr="004D1CAB">
        <w:rPr>
          <w:rFonts w:cstheme="minorHAnsi"/>
          <w:color w:val="000000" w:themeColor="text1"/>
          <w:szCs w:val="24"/>
        </w:rPr>
        <w:t>Personal experience of disability</w:t>
      </w:r>
    </w:p>
    <w:p w14:paraId="6CB41616" w14:textId="77777777" w:rsidR="008F35AA" w:rsidRPr="004D1CAB" w:rsidRDefault="008F35AA" w:rsidP="008F35AA">
      <w:pPr>
        <w:numPr>
          <w:ilvl w:val="0"/>
          <w:numId w:val="4"/>
        </w:numPr>
        <w:overflowPunct w:val="0"/>
        <w:autoSpaceDE w:val="0"/>
        <w:autoSpaceDN w:val="0"/>
        <w:adjustRightInd w:val="0"/>
        <w:spacing w:before="0" w:after="100" w:line="276" w:lineRule="auto"/>
        <w:textAlignment w:val="baseline"/>
        <w:rPr>
          <w:rFonts w:cstheme="minorHAnsi"/>
          <w:color w:val="000000" w:themeColor="text1"/>
          <w:szCs w:val="24"/>
        </w:rPr>
      </w:pPr>
      <w:r w:rsidRPr="004D1CAB">
        <w:rPr>
          <w:rFonts w:cstheme="minorHAnsi"/>
          <w:color w:val="000000" w:themeColor="text1"/>
          <w:szCs w:val="24"/>
        </w:rPr>
        <w:t>Previous experience working with Deaf and Disabled artists in an inclusive practice framework</w:t>
      </w:r>
    </w:p>
    <w:p w14:paraId="53C0385D" w14:textId="77777777" w:rsidR="008F35AA" w:rsidRPr="004D1CAB" w:rsidRDefault="008F35AA" w:rsidP="008F35AA">
      <w:pPr>
        <w:numPr>
          <w:ilvl w:val="0"/>
          <w:numId w:val="4"/>
        </w:numPr>
        <w:overflowPunct w:val="0"/>
        <w:autoSpaceDE w:val="0"/>
        <w:autoSpaceDN w:val="0"/>
        <w:adjustRightInd w:val="0"/>
        <w:spacing w:before="0" w:after="100" w:line="276" w:lineRule="auto"/>
        <w:textAlignment w:val="baseline"/>
        <w:rPr>
          <w:rFonts w:cstheme="minorHAnsi"/>
          <w:color w:val="000000" w:themeColor="text1"/>
          <w:szCs w:val="24"/>
        </w:rPr>
      </w:pPr>
      <w:r w:rsidRPr="004D1CAB">
        <w:rPr>
          <w:rFonts w:cstheme="minorHAnsi"/>
          <w:color w:val="000000" w:themeColor="text1"/>
          <w:szCs w:val="24"/>
        </w:rPr>
        <w:t>Understanding and commitment of access and inclusion in the arts</w:t>
      </w:r>
    </w:p>
    <w:p w14:paraId="103F1F14" w14:textId="77777777" w:rsidR="008F35AA" w:rsidRPr="004D1CAB" w:rsidRDefault="008F35AA" w:rsidP="008F35AA">
      <w:pPr>
        <w:numPr>
          <w:ilvl w:val="0"/>
          <w:numId w:val="4"/>
        </w:numPr>
        <w:overflowPunct w:val="0"/>
        <w:autoSpaceDE w:val="0"/>
        <w:autoSpaceDN w:val="0"/>
        <w:adjustRightInd w:val="0"/>
        <w:spacing w:before="0" w:after="100" w:line="276" w:lineRule="auto"/>
        <w:textAlignment w:val="baseline"/>
        <w:rPr>
          <w:rFonts w:cstheme="minorHAnsi"/>
          <w:color w:val="000000" w:themeColor="text1"/>
          <w:szCs w:val="24"/>
        </w:rPr>
      </w:pPr>
      <w:r w:rsidRPr="004D1CAB">
        <w:rPr>
          <w:rFonts w:cstheme="minorHAnsi"/>
          <w:color w:val="000000" w:themeColor="text1"/>
          <w:szCs w:val="24"/>
        </w:rPr>
        <w:t>Capacity to build dynamic and effective partnerships</w:t>
      </w:r>
    </w:p>
    <w:p w14:paraId="60980D31" w14:textId="1A5ABB51" w:rsidR="008F35AA" w:rsidRDefault="008F35AA" w:rsidP="008F35AA">
      <w:pPr>
        <w:numPr>
          <w:ilvl w:val="0"/>
          <w:numId w:val="4"/>
        </w:numPr>
        <w:overflowPunct w:val="0"/>
        <w:autoSpaceDE w:val="0"/>
        <w:autoSpaceDN w:val="0"/>
        <w:adjustRightInd w:val="0"/>
        <w:spacing w:before="0" w:after="100" w:line="276" w:lineRule="auto"/>
        <w:textAlignment w:val="baseline"/>
        <w:rPr>
          <w:rFonts w:cstheme="minorHAnsi"/>
          <w:color w:val="000000" w:themeColor="text1"/>
          <w:szCs w:val="24"/>
        </w:rPr>
      </w:pPr>
      <w:r w:rsidRPr="004D1CAB">
        <w:rPr>
          <w:rFonts w:cstheme="minorHAnsi"/>
          <w:color w:val="000000" w:themeColor="text1"/>
          <w:szCs w:val="24"/>
        </w:rPr>
        <w:t>High level written and verbal communication</w:t>
      </w:r>
    </w:p>
    <w:p w14:paraId="76E35E1B" w14:textId="068170BE" w:rsidR="008F35AA" w:rsidRPr="004D1CAB" w:rsidRDefault="008F35AA" w:rsidP="008F35AA">
      <w:pPr>
        <w:pStyle w:val="Heading2"/>
      </w:pPr>
      <w:r w:rsidRPr="004D1CAB">
        <w:t>Entitlements</w:t>
      </w:r>
    </w:p>
    <w:p w14:paraId="0B9E1F22" w14:textId="77777777" w:rsidR="008F35AA" w:rsidRPr="004D1CAB" w:rsidRDefault="008F35AA" w:rsidP="008F35AA">
      <w:pPr>
        <w:numPr>
          <w:ilvl w:val="0"/>
          <w:numId w:val="4"/>
        </w:numPr>
        <w:spacing w:before="0" w:after="200" w:line="276" w:lineRule="auto"/>
        <w:contextualSpacing/>
        <w:jc w:val="both"/>
        <w:rPr>
          <w:rFonts w:cstheme="minorHAnsi"/>
          <w:szCs w:val="24"/>
        </w:rPr>
      </w:pPr>
      <w:r w:rsidRPr="004D1CAB">
        <w:rPr>
          <w:rFonts w:cstheme="minorHAnsi"/>
          <w:szCs w:val="24"/>
        </w:rPr>
        <w:t>To gain satisfaction from their involvement with AAV</w:t>
      </w:r>
    </w:p>
    <w:p w14:paraId="4C1D0F6D" w14:textId="77777777" w:rsidR="008F35AA" w:rsidRPr="004D1CAB" w:rsidRDefault="008F35AA" w:rsidP="008F35AA">
      <w:pPr>
        <w:numPr>
          <w:ilvl w:val="0"/>
          <w:numId w:val="4"/>
        </w:numPr>
        <w:spacing w:before="0" w:after="200" w:line="276" w:lineRule="auto"/>
        <w:contextualSpacing/>
        <w:rPr>
          <w:rFonts w:cstheme="minorHAnsi"/>
          <w:szCs w:val="24"/>
        </w:rPr>
      </w:pPr>
      <w:r w:rsidRPr="004D1CAB">
        <w:rPr>
          <w:rFonts w:cstheme="minorHAnsi"/>
          <w:szCs w:val="24"/>
        </w:rPr>
        <w:t>To be supported and respected by staff and other AAV members</w:t>
      </w:r>
    </w:p>
    <w:p w14:paraId="11E5ABA8" w14:textId="77777777" w:rsidR="008F35AA" w:rsidRPr="004D1CAB" w:rsidRDefault="008F35AA" w:rsidP="008F35AA">
      <w:pPr>
        <w:numPr>
          <w:ilvl w:val="0"/>
          <w:numId w:val="4"/>
        </w:numPr>
        <w:spacing w:before="0" w:after="200" w:line="276" w:lineRule="auto"/>
        <w:contextualSpacing/>
        <w:rPr>
          <w:rFonts w:cstheme="minorHAnsi"/>
          <w:szCs w:val="24"/>
        </w:rPr>
      </w:pPr>
      <w:r w:rsidRPr="004D1CAB">
        <w:rPr>
          <w:rFonts w:cstheme="minorHAnsi"/>
          <w:szCs w:val="24"/>
        </w:rPr>
        <w:t xml:space="preserve">Have clearly defined responsibilities </w:t>
      </w:r>
    </w:p>
    <w:p w14:paraId="32F70474" w14:textId="77777777" w:rsidR="008F35AA" w:rsidRPr="004D1CAB" w:rsidRDefault="008F35AA" w:rsidP="008F35AA">
      <w:pPr>
        <w:numPr>
          <w:ilvl w:val="0"/>
          <w:numId w:val="4"/>
        </w:numPr>
        <w:spacing w:before="0" w:after="200" w:line="276" w:lineRule="auto"/>
        <w:contextualSpacing/>
        <w:rPr>
          <w:rFonts w:cstheme="minorHAnsi"/>
          <w:szCs w:val="24"/>
        </w:rPr>
      </w:pPr>
      <w:r w:rsidRPr="004D1CAB">
        <w:rPr>
          <w:rFonts w:cstheme="minorHAnsi"/>
          <w:szCs w:val="24"/>
        </w:rPr>
        <w:t xml:space="preserve">Receive adequate and clear information pertaining to their role and initial induction and on-going training relevant to their role </w:t>
      </w:r>
    </w:p>
    <w:p w14:paraId="6C89A09B" w14:textId="7163C031" w:rsidR="008F35AA" w:rsidRPr="008F35AA" w:rsidRDefault="008F35AA" w:rsidP="008F35AA">
      <w:pPr>
        <w:numPr>
          <w:ilvl w:val="0"/>
          <w:numId w:val="4"/>
        </w:numPr>
        <w:spacing w:before="0" w:after="200" w:line="276" w:lineRule="auto"/>
        <w:contextualSpacing/>
        <w:rPr>
          <w:rFonts w:cstheme="minorHAnsi"/>
          <w:color w:val="000000" w:themeColor="text1"/>
          <w:szCs w:val="24"/>
        </w:rPr>
      </w:pPr>
      <w:r w:rsidRPr="004D1CAB">
        <w:rPr>
          <w:rFonts w:cstheme="minorHAnsi"/>
          <w:szCs w:val="24"/>
        </w:rPr>
        <w:t xml:space="preserve">Be reimbursed for any </w:t>
      </w:r>
      <w:proofErr w:type="gramStart"/>
      <w:r w:rsidRPr="004D1CAB">
        <w:rPr>
          <w:rFonts w:cstheme="minorHAnsi"/>
          <w:szCs w:val="24"/>
        </w:rPr>
        <w:t>out of pocket</w:t>
      </w:r>
      <w:proofErr w:type="gramEnd"/>
      <w:r w:rsidRPr="004D1CAB">
        <w:rPr>
          <w:rFonts w:cstheme="minorHAnsi"/>
          <w:szCs w:val="24"/>
        </w:rPr>
        <w:t xml:space="preserve"> expenses including childcare, access and travel for AAV meetings</w:t>
      </w:r>
    </w:p>
    <w:p w14:paraId="592FA54C" w14:textId="6AEE4B85" w:rsidR="008417EC" w:rsidRDefault="008417EC" w:rsidP="00E159FD">
      <w:pPr>
        <w:spacing w:before="0" w:after="160" w:line="259" w:lineRule="auto"/>
        <w:rPr>
          <w:rFonts w:ascii="Calibri" w:hAnsi="Calibri"/>
          <w:szCs w:val="24"/>
        </w:rPr>
      </w:pPr>
      <w:r>
        <w:rPr>
          <w:rFonts w:ascii="Calibri" w:hAnsi="Calibri"/>
          <w:szCs w:val="24"/>
        </w:rPr>
        <w:br w:type="page"/>
      </w:r>
    </w:p>
    <w:p w14:paraId="57C4A721" w14:textId="77777777" w:rsidR="000C6F99" w:rsidRDefault="008417EC" w:rsidP="00E159FD">
      <w:pPr>
        <w:overflowPunct w:val="0"/>
        <w:autoSpaceDE w:val="0"/>
        <w:autoSpaceDN w:val="0"/>
        <w:adjustRightInd w:val="0"/>
        <w:spacing w:before="0" w:after="100" w:line="276" w:lineRule="auto"/>
        <w:textAlignment w:val="baseline"/>
        <w:rPr>
          <w:rFonts w:ascii="Calibri" w:hAnsi="Calibri"/>
          <w:szCs w:val="24"/>
        </w:rPr>
        <w:sectPr w:rsidR="000C6F99" w:rsidSect="00A05CB4">
          <w:type w:val="continuous"/>
          <w:pgSz w:w="11906" w:h="16838"/>
          <w:pgMar w:top="1440" w:right="1440" w:bottom="1701" w:left="1440" w:header="708" w:footer="708" w:gutter="0"/>
          <w:cols w:space="708"/>
          <w:formProt w:val="0"/>
          <w:docGrid w:linePitch="360"/>
        </w:sectPr>
      </w:pPr>
      <w:r w:rsidRPr="000C6F99">
        <w:rPr>
          <w:rFonts w:ascii="Calibri" w:hAnsi="Calibri"/>
          <w:szCs w:val="24"/>
        </w:rPr>
        <w:lastRenderedPageBreak/>
        <w:t>Signed:</w:t>
      </w:r>
    </w:p>
    <w:p w14:paraId="705E2D44" w14:textId="24FA5BF3" w:rsidR="000C6F99" w:rsidRPr="00D651CE" w:rsidRDefault="000C6F99" w:rsidP="00E159FD">
      <w:pPr>
        <w:spacing w:before="0" w:after="0"/>
      </w:pPr>
      <w:r>
        <w:fldChar w:fldCharType="begin">
          <w:ffData>
            <w:name w:val="Text1"/>
            <w:enabled/>
            <w:calcOnExit w:val="0"/>
            <w:helpText w:type="text" w:val="Enter the date as DD/MM/YYYY"/>
            <w:textInput>
              <w:default w:val="&lt;Date DD/MM/YYYY&gt;"/>
            </w:textInput>
          </w:ffData>
        </w:fldChar>
      </w:r>
      <w:bookmarkStart w:id="0" w:name="Text1"/>
      <w:r>
        <w:instrText xml:space="preserve"> FORMTEXT </w:instrText>
      </w:r>
      <w:r>
        <w:fldChar w:fldCharType="separate"/>
      </w:r>
      <w:r>
        <w:rPr>
          <w:noProof/>
        </w:rPr>
        <w:t>&lt;Date DD/MM/YYYY&gt;</w:t>
      </w:r>
      <w:r>
        <w:fldChar w:fldCharType="end"/>
      </w:r>
      <w:bookmarkEnd w:id="0"/>
    </w:p>
    <w:p w14:paraId="47C4E5AF" w14:textId="77777777" w:rsidR="000C6F99" w:rsidRDefault="000C6F99" w:rsidP="00E159FD">
      <w:pPr>
        <w:spacing w:before="0" w:after="0"/>
        <w:sectPr w:rsidR="000C6F99" w:rsidSect="00A05CB4">
          <w:type w:val="continuous"/>
          <w:pgSz w:w="11906" w:h="16838"/>
          <w:pgMar w:top="1440" w:right="1440" w:bottom="1701" w:left="1440" w:header="708" w:footer="708" w:gutter="0"/>
          <w:cols w:space="708"/>
          <w:docGrid w:linePitch="360"/>
        </w:sectPr>
      </w:pPr>
      <w:r>
        <w:fldChar w:fldCharType="begin">
          <w:ffData>
            <w:name w:val="Text2"/>
            <w:enabled/>
            <w:calcOnExit w:val="0"/>
            <w:helpText w:type="text" w:val="Enter your name"/>
            <w:textInput>
              <w:default w:val="&lt;Your Name&gt;"/>
            </w:textInput>
          </w:ffData>
        </w:fldChar>
      </w:r>
      <w:bookmarkStart w:id="1" w:name="Text2"/>
      <w:r>
        <w:instrText xml:space="preserve"> FORMTEXT </w:instrText>
      </w:r>
      <w:r>
        <w:fldChar w:fldCharType="separate"/>
      </w:r>
      <w:r>
        <w:rPr>
          <w:noProof/>
        </w:rPr>
        <w:t>&lt;Your Name&gt;</w:t>
      </w:r>
      <w:r>
        <w:fldChar w:fldCharType="end"/>
      </w:r>
      <w:bookmarkEnd w:id="1"/>
    </w:p>
    <w:p w14:paraId="1A5406A5" w14:textId="1BB4FBAA" w:rsidR="000C6F99" w:rsidRPr="008F35AA" w:rsidRDefault="008F35AA" w:rsidP="008F35AA">
      <w:pPr>
        <w:autoSpaceDE w:val="0"/>
        <w:autoSpaceDN w:val="0"/>
        <w:adjustRightInd w:val="0"/>
        <w:rPr>
          <w:rFonts w:cstheme="minorHAnsi"/>
          <w:szCs w:val="24"/>
        </w:rPr>
      </w:pPr>
      <w:r w:rsidRPr="004D1CAB">
        <w:rPr>
          <w:rFonts w:cstheme="minorHAnsi"/>
          <w:szCs w:val="24"/>
        </w:rPr>
        <w:t>Arts Access Victoria is committed to equity and inclusion. We strongly encourage Deaf and Disabled, First Nations, LGBTIQ+ and/or CALD people to apply. If you require assistance with your application, please contact us. A position description is available in alternate formats if required, including Braille, Large Print and Plain English.</w:t>
      </w:r>
    </w:p>
    <w:sectPr w:rsidR="000C6F99" w:rsidRPr="008F35AA" w:rsidSect="00A05CB4">
      <w:type w:val="continuous"/>
      <w:pgSz w:w="11906" w:h="16838"/>
      <w:pgMar w:top="1440" w:right="1440" w:bottom="1701"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7F59" w14:textId="77777777" w:rsidR="000837EE" w:rsidRDefault="000837EE" w:rsidP="003D194C">
      <w:pPr>
        <w:spacing w:before="0" w:after="0" w:line="240" w:lineRule="auto"/>
      </w:pPr>
      <w:r>
        <w:separator/>
      </w:r>
    </w:p>
  </w:endnote>
  <w:endnote w:type="continuationSeparator" w:id="0">
    <w:p w14:paraId="6B1B538E" w14:textId="77777777" w:rsidR="000837EE" w:rsidRDefault="000837EE"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C448" w14:textId="0DE4E9E9" w:rsidR="0090092F" w:rsidRPr="0090092F" w:rsidRDefault="000837EE">
    <w:pPr>
      <w:pStyle w:val="Footer"/>
      <w:rPr>
        <w:sz w:val="22"/>
        <w:szCs w:val="20"/>
      </w:rPr>
    </w:pPr>
    <w:sdt>
      <w:sdtPr>
        <w:rPr>
          <w:sz w:val="22"/>
          <w:szCs w:val="20"/>
        </w:rPr>
        <w:id w:val="1400475732"/>
        <w:docPartObj>
          <w:docPartGallery w:val="Page Numbers (Top of Page)"/>
          <w:docPartUnique/>
        </w:docPartObj>
      </w:sdt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0D87" w14:textId="2E9E41EC" w:rsidR="0090092F" w:rsidRPr="0090092F" w:rsidRDefault="000837EE">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9BEB" w14:textId="77777777" w:rsidR="000837EE" w:rsidRDefault="000837EE" w:rsidP="003D194C">
      <w:pPr>
        <w:spacing w:before="0" w:after="0" w:line="240" w:lineRule="auto"/>
      </w:pPr>
      <w:r>
        <w:separator/>
      </w:r>
    </w:p>
  </w:footnote>
  <w:footnote w:type="continuationSeparator" w:id="0">
    <w:p w14:paraId="316422B3" w14:textId="77777777" w:rsidR="000837EE" w:rsidRDefault="000837EE"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42EF" w14:textId="2A6FF439" w:rsidR="003D194C" w:rsidRPr="00123D95" w:rsidRDefault="003D194C" w:rsidP="00123D95">
    <w:pPr>
      <w:pStyle w:val="Header"/>
      <w:tabs>
        <w:tab w:val="clear" w:pos="4513"/>
        <w:tab w:val="center" w:pos="2127"/>
      </w:tabs>
      <w:spacing w:after="480" w:line="312" w:lineRule="auto"/>
      <w:rPr>
        <w:rFonts w:cstheme="minorHAnsi"/>
        <w:color w:val="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9C27" w14:textId="0F8421E8"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59264" behindDoc="1" locked="0" layoutInCell="1" allowOverlap="1" wp14:anchorId="55CBA14E" wp14:editId="5B157E7F">
          <wp:simplePos x="0" y="0"/>
          <wp:positionH relativeFrom="margin">
            <wp:align>right</wp:align>
          </wp:positionH>
          <wp:positionV relativeFrom="paragraph">
            <wp:posOffset>3116</wp:posOffset>
          </wp:positionV>
          <wp:extent cx="1749425" cy="901700"/>
          <wp:effectExtent l="0" t="0" r="0" b="0"/>
          <wp:wrapNone/>
          <wp:docPr id="2" name="Picture 2"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7C834FFE"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54A0BC95" w14:textId="70170B8A"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356F7CF7" w14:textId="659E482F"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628E0BD8" w14:textId="4995B66C"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D9"/>
    <w:multiLevelType w:val="hybridMultilevel"/>
    <w:tmpl w:val="D6004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60CDE"/>
    <w:multiLevelType w:val="hybridMultilevel"/>
    <w:tmpl w:val="7FD6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710D2"/>
    <w:multiLevelType w:val="hybridMultilevel"/>
    <w:tmpl w:val="D4EE2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D2E74"/>
    <w:multiLevelType w:val="hybridMultilevel"/>
    <w:tmpl w:val="C9600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2F1536"/>
    <w:multiLevelType w:val="hybridMultilevel"/>
    <w:tmpl w:val="D22C8F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DE24FA"/>
    <w:multiLevelType w:val="hybridMultilevel"/>
    <w:tmpl w:val="63D07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611BB0"/>
    <w:multiLevelType w:val="hybridMultilevel"/>
    <w:tmpl w:val="B74E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E4"/>
    <w:rsid w:val="000160C6"/>
    <w:rsid w:val="000837EE"/>
    <w:rsid w:val="000C6F99"/>
    <w:rsid w:val="001138E4"/>
    <w:rsid w:val="00123D95"/>
    <w:rsid w:val="00196D52"/>
    <w:rsid w:val="00227CFA"/>
    <w:rsid w:val="002C693B"/>
    <w:rsid w:val="003D194C"/>
    <w:rsid w:val="004F2413"/>
    <w:rsid w:val="005439FC"/>
    <w:rsid w:val="0069774D"/>
    <w:rsid w:val="00794DB8"/>
    <w:rsid w:val="007C64A8"/>
    <w:rsid w:val="008417EC"/>
    <w:rsid w:val="008F35AA"/>
    <w:rsid w:val="0090092F"/>
    <w:rsid w:val="009E02FA"/>
    <w:rsid w:val="00A05CB4"/>
    <w:rsid w:val="00A82106"/>
    <w:rsid w:val="00B56600"/>
    <w:rsid w:val="00BE0FCA"/>
    <w:rsid w:val="00C36D3F"/>
    <w:rsid w:val="00CA11CE"/>
    <w:rsid w:val="00D45CD5"/>
    <w:rsid w:val="00E12060"/>
    <w:rsid w:val="00E159FD"/>
    <w:rsid w:val="00EF4087"/>
    <w:rsid w:val="00F97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57F80"/>
  <w15:chartTrackingRefBased/>
  <w15:docId w15:val="{95D41061-E7C1-4943-A447-B22D39B6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8417EC"/>
    <w:pPr>
      <w:spacing w:after="0"/>
      <w:jc w:val="center"/>
      <w:outlineLvl w:val="0"/>
    </w:pPr>
    <w:rPr>
      <w:b/>
      <w:bCs/>
      <w:sz w:val="36"/>
      <w:szCs w:val="24"/>
    </w:rPr>
  </w:style>
  <w:style w:type="paragraph" w:styleId="Heading2">
    <w:name w:val="heading 2"/>
    <w:basedOn w:val="Normal"/>
    <w:next w:val="Normal"/>
    <w:link w:val="Heading2Char"/>
    <w:uiPriority w:val="9"/>
    <w:unhideWhenUsed/>
    <w:qFormat/>
    <w:rsid w:val="008417EC"/>
    <w:pPr>
      <w:spacing w:line="276" w:lineRule="auto"/>
      <w:outlineLvl w:val="1"/>
    </w:pPr>
    <w:rPr>
      <w:rFonts w:ascii="Calibri" w:hAnsi="Calibri"/>
      <w:b/>
      <w:szCs w:val="24"/>
    </w:rPr>
  </w:style>
  <w:style w:type="paragraph" w:styleId="Heading3">
    <w:name w:val="heading 3"/>
    <w:basedOn w:val="Normal"/>
    <w:next w:val="Normal"/>
    <w:link w:val="Heading3Char"/>
    <w:uiPriority w:val="9"/>
    <w:semiHidden/>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7EC"/>
    <w:rPr>
      <w:b/>
      <w:bCs/>
      <w:sz w:val="36"/>
      <w:szCs w:val="24"/>
    </w:rPr>
  </w:style>
  <w:style w:type="character" w:customStyle="1" w:styleId="Heading2Char">
    <w:name w:val="Heading 2 Char"/>
    <w:basedOn w:val="DefaultParagraphFont"/>
    <w:link w:val="Heading2"/>
    <w:uiPriority w:val="9"/>
    <w:rsid w:val="008417EC"/>
    <w:rPr>
      <w:rFonts w:ascii="Calibri" w:hAnsi="Calibri"/>
      <w:b/>
      <w:sz w:val="24"/>
      <w:szCs w:val="24"/>
    </w:rPr>
  </w:style>
  <w:style w:type="character" w:customStyle="1" w:styleId="Heading3Char">
    <w:name w:val="Heading 3 Char"/>
    <w:basedOn w:val="DefaultParagraphFont"/>
    <w:link w:val="Heading3"/>
    <w:uiPriority w:val="9"/>
    <w:semiHidden/>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8E4"/>
    <w:pPr>
      <w:widowControl w:val="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F35AA"/>
    <w:rPr>
      <w:sz w:val="16"/>
      <w:szCs w:val="16"/>
    </w:rPr>
  </w:style>
  <w:style w:type="paragraph" w:styleId="CommentText">
    <w:name w:val="annotation text"/>
    <w:basedOn w:val="Normal"/>
    <w:link w:val="CommentTextChar"/>
    <w:uiPriority w:val="99"/>
    <w:semiHidden/>
    <w:rsid w:val="008F35AA"/>
    <w:pPr>
      <w:spacing w:before="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F35AA"/>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saccess.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D887-674C-456F-97CF-0D035223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Posion Description</Template>
  <TotalTime>1</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Knox</dc:creator>
  <cp:keywords/>
  <dc:description/>
  <cp:lastModifiedBy>Sabina Knox</cp:lastModifiedBy>
  <cp:revision>5</cp:revision>
  <dcterms:created xsi:type="dcterms:W3CDTF">2021-09-17T02:23:00Z</dcterms:created>
  <dcterms:modified xsi:type="dcterms:W3CDTF">2021-09-17T03:03:00Z</dcterms:modified>
</cp:coreProperties>
</file>