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F3EF" w14:textId="54FE9B91" w:rsidR="00446D7B" w:rsidRPr="00446D7B" w:rsidRDefault="00446D7B" w:rsidP="00446D7B">
      <w:pPr>
        <w:pStyle w:val="Title"/>
        <w:rPr>
          <w:sz w:val="56"/>
          <w:szCs w:val="52"/>
        </w:rPr>
      </w:pPr>
      <w:r w:rsidRPr="00446D7B">
        <w:rPr>
          <w:sz w:val="56"/>
          <w:szCs w:val="52"/>
        </w:rPr>
        <w:t xml:space="preserve">Arts Access Victoria Annual Report </w:t>
      </w:r>
      <w:r w:rsidR="00E86DD2">
        <w:rPr>
          <w:sz w:val="56"/>
          <w:szCs w:val="52"/>
        </w:rPr>
        <w:t>2025</w:t>
      </w:r>
    </w:p>
    <w:p w14:paraId="57B6C70C" w14:textId="77777777" w:rsidR="00633F47" w:rsidRDefault="00633F47" w:rsidP="00633F47">
      <w:r>
        <w:t>We respectfully acknowledge the Traditional Custodians of Country across all lands and waters now known as Australia. We pay respect to all Aboriginal and Torres Strait Islander peoples living here and those who have previously lived on these lands. We acknowledge and uphold their continuing relationship to this land and waterways. We acknowledge that their sovereignty has never been ceded.</w:t>
      </w:r>
    </w:p>
    <w:p w14:paraId="7C592004" w14:textId="19FEFC4A" w:rsidR="00446D7B" w:rsidRDefault="00633F47" w:rsidP="00633F47">
      <w:r w:rsidRPr="00633F47">
        <w:rPr>
          <w:b/>
          <w:bCs/>
        </w:rPr>
        <w:t>Content Advice:</w:t>
      </w:r>
      <w:r>
        <w:t xml:space="preserve"> Aboriginal and Torres Strait Islander people are advised that this Annual report may contain names of deceased people. </w:t>
      </w:r>
      <w:r w:rsidR="00446D7B">
        <w:br w:type="page"/>
      </w:r>
    </w:p>
    <w:sdt>
      <w:sdtPr>
        <w:rPr>
          <w:rFonts w:eastAsiaTheme="minorHAnsi" w:cstheme="minorHAnsi"/>
          <w:color w:val="auto"/>
          <w:sz w:val="20"/>
          <w:szCs w:val="20"/>
          <w:lang w:val="en-AU"/>
        </w:rPr>
        <w:id w:val="1745522101"/>
        <w:docPartObj>
          <w:docPartGallery w:val="Table of Contents"/>
          <w:docPartUnique/>
        </w:docPartObj>
      </w:sdtPr>
      <w:sdtEndPr>
        <w:rPr>
          <w:b w:val="0"/>
          <w:bCs w:val="0"/>
          <w:noProof/>
        </w:rPr>
      </w:sdtEndPr>
      <w:sdtContent>
        <w:p w14:paraId="73A31A90" w14:textId="7D43FB1B" w:rsidR="00256AB9" w:rsidRPr="00256AB9" w:rsidRDefault="00256AB9">
          <w:pPr>
            <w:pStyle w:val="TOCHeading"/>
            <w:rPr>
              <w:b w:val="0"/>
              <w:bCs w:val="0"/>
            </w:rPr>
          </w:pPr>
          <w:r w:rsidRPr="00256AB9">
            <w:rPr>
              <w:b w:val="0"/>
              <w:bCs w:val="0"/>
            </w:rPr>
            <w:t>Table of Contents</w:t>
          </w:r>
        </w:p>
        <w:p w14:paraId="60173A19" w14:textId="6F558D32" w:rsidR="00DA1422" w:rsidRPr="00E53AD1" w:rsidRDefault="00256AB9">
          <w:pPr>
            <w:pStyle w:val="TOC1"/>
            <w:tabs>
              <w:tab w:val="right" w:pos="9016"/>
            </w:tabs>
            <w:rPr>
              <w:rFonts w:eastAsiaTheme="minorEastAsia"/>
              <w:b w:val="0"/>
              <w:bCs w:val="0"/>
              <w:noProof/>
              <w:sz w:val="24"/>
              <w:szCs w:val="24"/>
              <w:lang w:eastAsia="en-AU"/>
            </w:rPr>
          </w:pPr>
          <w:r w:rsidRPr="00E53AD1">
            <w:rPr>
              <w:b w:val="0"/>
              <w:bCs w:val="0"/>
              <w:i/>
              <w:iCs/>
              <w:sz w:val="24"/>
              <w:szCs w:val="24"/>
            </w:rPr>
            <w:fldChar w:fldCharType="begin"/>
          </w:r>
          <w:r w:rsidRPr="00E53AD1">
            <w:rPr>
              <w:b w:val="0"/>
              <w:bCs w:val="0"/>
              <w:i/>
              <w:iCs/>
              <w:sz w:val="24"/>
              <w:szCs w:val="24"/>
            </w:rPr>
            <w:instrText xml:space="preserve"> TOC \o "1-1" \h \z \u </w:instrText>
          </w:r>
          <w:r w:rsidRPr="00E53AD1">
            <w:rPr>
              <w:b w:val="0"/>
              <w:bCs w:val="0"/>
              <w:i/>
              <w:iCs/>
              <w:sz w:val="24"/>
              <w:szCs w:val="24"/>
            </w:rPr>
            <w:fldChar w:fldCharType="separate"/>
          </w:r>
          <w:hyperlink w:anchor="_Toc228028936" w:history="1">
            <w:r w:rsidR="00DA1422" w:rsidRPr="00E53AD1">
              <w:rPr>
                <w:rStyle w:val="Hyperlink"/>
                <w:b w:val="0"/>
                <w:bCs w:val="0"/>
                <w:noProof/>
                <w:sz w:val="24"/>
                <w:szCs w:val="24"/>
              </w:rPr>
              <w:t>2025 in numbers</w:t>
            </w:r>
            <w:r w:rsidR="00DA1422" w:rsidRPr="00E53AD1">
              <w:rPr>
                <w:b w:val="0"/>
                <w:bCs w:val="0"/>
                <w:noProof/>
                <w:webHidden/>
                <w:sz w:val="24"/>
                <w:szCs w:val="24"/>
              </w:rPr>
              <w:tab/>
            </w:r>
            <w:r w:rsidR="00DA1422" w:rsidRPr="00E53AD1">
              <w:rPr>
                <w:b w:val="0"/>
                <w:bCs w:val="0"/>
                <w:noProof/>
                <w:webHidden/>
                <w:sz w:val="24"/>
                <w:szCs w:val="24"/>
              </w:rPr>
              <w:fldChar w:fldCharType="begin"/>
            </w:r>
            <w:r w:rsidR="00DA1422" w:rsidRPr="00E53AD1">
              <w:rPr>
                <w:b w:val="0"/>
                <w:bCs w:val="0"/>
                <w:noProof/>
                <w:webHidden/>
                <w:sz w:val="24"/>
                <w:szCs w:val="24"/>
              </w:rPr>
              <w:instrText xml:space="preserve"> PAGEREF _Toc228028936 \h </w:instrText>
            </w:r>
            <w:r w:rsidR="00DA1422" w:rsidRPr="00E53AD1">
              <w:rPr>
                <w:b w:val="0"/>
                <w:bCs w:val="0"/>
                <w:noProof/>
                <w:webHidden/>
                <w:sz w:val="24"/>
                <w:szCs w:val="24"/>
              </w:rPr>
            </w:r>
            <w:r w:rsidR="00DA1422" w:rsidRPr="00E53AD1">
              <w:rPr>
                <w:b w:val="0"/>
                <w:bCs w:val="0"/>
                <w:noProof/>
                <w:webHidden/>
                <w:sz w:val="24"/>
                <w:szCs w:val="24"/>
              </w:rPr>
              <w:fldChar w:fldCharType="separate"/>
            </w:r>
            <w:r w:rsidR="00DA1422" w:rsidRPr="00E53AD1">
              <w:rPr>
                <w:b w:val="0"/>
                <w:bCs w:val="0"/>
                <w:noProof/>
                <w:webHidden/>
                <w:sz w:val="24"/>
                <w:szCs w:val="24"/>
              </w:rPr>
              <w:t>3</w:t>
            </w:r>
            <w:r w:rsidR="00DA1422" w:rsidRPr="00E53AD1">
              <w:rPr>
                <w:b w:val="0"/>
                <w:bCs w:val="0"/>
                <w:noProof/>
                <w:webHidden/>
                <w:sz w:val="24"/>
                <w:szCs w:val="24"/>
              </w:rPr>
              <w:fldChar w:fldCharType="end"/>
            </w:r>
          </w:hyperlink>
        </w:p>
        <w:p w14:paraId="761CB422" w14:textId="41EFE99F" w:rsidR="00DA1422" w:rsidRPr="00E53AD1" w:rsidRDefault="00DA1422">
          <w:pPr>
            <w:pStyle w:val="TOC1"/>
            <w:tabs>
              <w:tab w:val="right" w:pos="9016"/>
            </w:tabs>
            <w:rPr>
              <w:rFonts w:eastAsiaTheme="minorEastAsia"/>
              <w:b w:val="0"/>
              <w:bCs w:val="0"/>
              <w:noProof/>
              <w:sz w:val="24"/>
              <w:szCs w:val="24"/>
              <w:lang w:eastAsia="en-AU"/>
            </w:rPr>
          </w:pPr>
          <w:hyperlink w:anchor="_Toc228028937" w:history="1">
            <w:r w:rsidRPr="00E53AD1">
              <w:rPr>
                <w:rStyle w:val="Hyperlink"/>
                <w:b w:val="0"/>
                <w:bCs w:val="0"/>
                <w:noProof/>
                <w:sz w:val="24"/>
                <w:szCs w:val="24"/>
              </w:rPr>
              <w:t>About Arts Access Victoria</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_Toc228028937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4</w:t>
            </w:r>
            <w:r w:rsidRPr="00E53AD1">
              <w:rPr>
                <w:b w:val="0"/>
                <w:bCs w:val="0"/>
                <w:noProof/>
                <w:webHidden/>
                <w:sz w:val="24"/>
                <w:szCs w:val="24"/>
              </w:rPr>
              <w:fldChar w:fldCharType="end"/>
            </w:r>
          </w:hyperlink>
        </w:p>
        <w:p w14:paraId="46378180" w14:textId="23205FC9" w:rsidR="00DA1422" w:rsidRPr="00E53AD1" w:rsidRDefault="00DA1422">
          <w:pPr>
            <w:pStyle w:val="TOC1"/>
            <w:tabs>
              <w:tab w:val="right" w:pos="9016"/>
            </w:tabs>
            <w:rPr>
              <w:rFonts w:eastAsiaTheme="minorEastAsia"/>
              <w:b w:val="0"/>
              <w:bCs w:val="0"/>
              <w:noProof/>
              <w:sz w:val="24"/>
              <w:szCs w:val="24"/>
              <w:lang w:eastAsia="en-AU"/>
            </w:rPr>
          </w:pPr>
          <w:hyperlink w:anchor="_Toc228028938" w:history="1">
            <w:r w:rsidRPr="00E53AD1">
              <w:rPr>
                <w:rStyle w:val="Hyperlink"/>
                <w:b w:val="0"/>
                <w:bCs w:val="0"/>
                <w:noProof/>
                <w:sz w:val="24"/>
                <w:szCs w:val="24"/>
              </w:rPr>
              <w:t>A Message from the Chair</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_Toc228028938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5</w:t>
            </w:r>
            <w:r w:rsidRPr="00E53AD1">
              <w:rPr>
                <w:b w:val="0"/>
                <w:bCs w:val="0"/>
                <w:noProof/>
                <w:webHidden/>
                <w:sz w:val="24"/>
                <w:szCs w:val="24"/>
              </w:rPr>
              <w:fldChar w:fldCharType="end"/>
            </w:r>
          </w:hyperlink>
        </w:p>
        <w:p w14:paraId="5A6FDCCC" w14:textId="32CBFF43" w:rsidR="00DA1422" w:rsidRPr="00E53AD1" w:rsidRDefault="00DA1422">
          <w:pPr>
            <w:pStyle w:val="TOC1"/>
            <w:tabs>
              <w:tab w:val="right" w:pos="9016"/>
            </w:tabs>
            <w:rPr>
              <w:rFonts w:eastAsiaTheme="minorEastAsia"/>
              <w:b w:val="0"/>
              <w:bCs w:val="0"/>
              <w:noProof/>
              <w:sz w:val="24"/>
              <w:szCs w:val="24"/>
              <w:lang w:eastAsia="en-AU"/>
            </w:rPr>
          </w:pPr>
          <w:hyperlink w:anchor="_Toc228028939" w:history="1">
            <w:r w:rsidRPr="00E53AD1">
              <w:rPr>
                <w:rStyle w:val="Hyperlink"/>
                <w:b w:val="0"/>
                <w:bCs w:val="0"/>
                <w:noProof/>
                <w:sz w:val="24"/>
                <w:szCs w:val="24"/>
              </w:rPr>
              <w:t>A Message from the CEO</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_Toc228028939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5</w:t>
            </w:r>
            <w:r w:rsidRPr="00E53AD1">
              <w:rPr>
                <w:b w:val="0"/>
                <w:bCs w:val="0"/>
                <w:noProof/>
                <w:webHidden/>
                <w:sz w:val="24"/>
                <w:szCs w:val="24"/>
              </w:rPr>
              <w:fldChar w:fldCharType="end"/>
            </w:r>
          </w:hyperlink>
        </w:p>
        <w:p w14:paraId="10765B06" w14:textId="1748DA46" w:rsidR="00DA1422" w:rsidRPr="00E53AD1" w:rsidRDefault="00DA1422">
          <w:pPr>
            <w:pStyle w:val="TOC1"/>
            <w:tabs>
              <w:tab w:val="right" w:pos="9016"/>
            </w:tabs>
            <w:rPr>
              <w:rFonts w:eastAsiaTheme="minorEastAsia"/>
              <w:b w:val="0"/>
              <w:bCs w:val="0"/>
              <w:noProof/>
              <w:sz w:val="24"/>
              <w:szCs w:val="24"/>
              <w:lang w:eastAsia="en-AU"/>
            </w:rPr>
          </w:pPr>
          <w:hyperlink w:anchor="_Toc228028940" w:history="1">
            <w:r w:rsidRPr="00E53AD1">
              <w:rPr>
                <w:rStyle w:val="Hyperlink"/>
                <w:b w:val="0"/>
                <w:bCs w:val="0"/>
                <w:noProof/>
                <w:sz w:val="24"/>
                <w:szCs w:val="24"/>
              </w:rPr>
              <w:t>Doing What We Do Best</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_Toc228028940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7</w:t>
            </w:r>
            <w:r w:rsidRPr="00E53AD1">
              <w:rPr>
                <w:b w:val="0"/>
                <w:bCs w:val="0"/>
                <w:noProof/>
                <w:webHidden/>
                <w:sz w:val="24"/>
                <w:szCs w:val="24"/>
              </w:rPr>
              <w:fldChar w:fldCharType="end"/>
            </w:r>
          </w:hyperlink>
        </w:p>
        <w:p w14:paraId="278EB1A6" w14:textId="1B570AA7" w:rsidR="00DA1422" w:rsidRPr="00E53AD1" w:rsidRDefault="00DA1422">
          <w:pPr>
            <w:pStyle w:val="TOC1"/>
            <w:tabs>
              <w:tab w:val="right" w:pos="9016"/>
            </w:tabs>
            <w:rPr>
              <w:rFonts w:eastAsiaTheme="minorEastAsia"/>
              <w:b w:val="0"/>
              <w:bCs w:val="0"/>
              <w:noProof/>
              <w:sz w:val="24"/>
              <w:szCs w:val="24"/>
              <w:lang w:eastAsia="en-AU"/>
            </w:rPr>
          </w:pPr>
          <w:hyperlink w:anchor="_Toc228028941" w:history="1">
            <w:r w:rsidRPr="00E53AD1">
              <w:rPr>
                <w:rStyle w:val="Hyperlink"/>
                <w:b w:val="0"/>
                <w:bCs w:val="0"/>
                <w:noProof/>
                <w:sz w:val="24"/>
                <w:szCs w:val="24"/>
              </w:rPr>
              <w:t>TOFF Turned 21!</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_Toc228028941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14</w:t>
            </w:r>
            <w:r w:rsidRPr="00E53AD1">
              <w:rPr>
                <w:b w:val="0"/>
                <w:bCs w:val="0"/>
                <w:noProof/>
                <w:webHidden/>
                <w:sz w:val="24"/>
                <w:szCs w:val="24"/>
              </w:rPr>
              <w:fldChar w:fldCharType="end"/>
            </w:r>
          </w:hyperlink>
        </w:p>
        <w:p w14:paraId="2841F730" w14:textId="44774272" w:rsidR="00DA1422" w:rsidRPr="00E53AD1" w:rsidRDefault="00DA1422">
          <w:pPr>
            <w:pStyle w:val="TOC1"/>
            <w:tabs>
              <w:tab w:val="right" w:pos="9016"/>
            </w:tabs>
            <w:rPr>
              <w:rFonts w:eastAsiaTheme="minorEastAsia"/>
              <w:b w:val="0"/>
              <w:bCs w:val="0"/>
              <w:noProof/>
              <w:sz w:val="24"/>
              <w:szCs w:val="24"/>
              <w:lang w:eastAsia="en-AU"/>
            </w:rPr>
          </w:pPr>
          <w:hyperlink w:anchor="_Toc228028942" w:history="1">
            <w:r w:rsidRPr="00E53AD1">
              <w:rPr>
                <w:rStyle w:val="Hyperlink"/>
                <w:b w:val="0"/>
                <w:bCs w:val="0"/>
                <w:noProof/>
                <w:sz w:val="24"/>
                <w:szCs w:val="24"/>
              </w:rPr>
              <w:t>Sector Development</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_Toc228028942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16</w:t>
            </w:r>
            <w:r w:rsidRPr="00E53AD1">
              <w:rPr>
                <w:b w:val="0"/>
                <w:bCs w:val="0"/>
                <w:noProof/>
                <w:webHidden/>
                <w:sz w:val="24"/>
                <w:szCs w:val="24"/>
              </w:rPr>
              <w:fldChar w:fldCharType="end"/>
            </w:r>
          </w:hyperlink>
        </w:p>
        <w:p w14:paraId="05B4A3AA" w14:textId="710F7CD1" w:rsidR="00DA1422" w:rsidRPr="00E53AD1" w:rsidRDefault="00DA1422">
          <w:pPr>
            <w:pStyle w:val="TOC1"/>
            <w:tabs>
              <w:tab w:val="right" w:pos="9016"/>
            </w:tabs>
            <w:rPr>
              <w:rFonts w:eastAsiaTheme="minorEastAsia"/>
              <w:b w:val="0"/>
              <w:bCs w:val="0"/>
              <w:noProof/>
              <w:sz w:val="24"/>
              <w:szCs w:val="24"/>
              <w:lang w:eastAsia="en-AU"/>
            </w:rPr>
          </w:pPr>
          <w:hyperlink w:anchor="_Toc228028943" w:history="1">
            <w:r w:rsidRPr="00E53AD1">
              <w:rPr>
                <w:rStyle w:val="Hyperlink"/>
                <w:b w:val="0"/>
                <w:bCs w:val="0"/>
                <w:noProof/>
                <w:sz w:val="24"/>
                <w:szCs w:val="24"/>
              </w:rPr>
              <w:t>Financials</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_Toc228028943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20</w:t>
            </w:r>
            <w:r w:rsidRPr="00E53AD1">
              <w:rPr>
                <w:b w:val="0"/>
                <w:bCs w:val="0"/>
                <w:noProof/>
                <w:webHidden/>
                <w:sz w:val="24"/>
                <w:szCs w:val="24"/>
              </w:rPr>
              <w:fldChar w:fldCharType="end"/>
            </w:r>
          </w:hyperlink>
        </w:p>
        <w:p w14:paraId="7DF75F36" w14:textId="467EE490" w:rsidR="00DA1422" w:rsidRPr="00E53AD1" w:rsidRDefault="00DA1422">
          <w:pPr>
            <w:pStyle w:val="TOC1"/>
            <w:tabs>
              <w:tab w:val="right" w:pos="9016"/>
            </w:tabs>
            <w:rPr>
              <w:rFonts w:eastAsiaTheme="minorEastAsia"/>
              <w:b w:val="0"/>
              <w:bCs w:val="0"/>
              <w:noProof/>
              <w:sz w:val="24"/>
              <w:szCs w:val="24"/>
              <w:lang w:eastAsia="en-AU"/>
            </w:rPr>
          </w:pPr>
          <w:hyperlink w:anchor="_Toc228028944" w:history="1">
            <w:r w:rsidRPr="00E53AD1">
              <w:rPr>
                <w:rStyle w:val="Hyperlink"/>
                <w:b w:val="0"/>
                <w:bCs w:val="0"/>
                <w:noProof/>
                <w:sz w:val="24"/>
                <w:szCs w:val="24"/>
              </w:rPr>
              <w:t>Our Board</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_Toc228028944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23</w:t>
            </w:r>
            <w:r w:rsidRPr="00E53AD1">
              <w:rPr>
                <w:b w:val="0"/>
                <w:bCs w:val="0"/>
                <w:noProof/>
                <w:webHidden/>
                <w:sz w:val="24"/>
                <w:szCs w:val="24"/>
              </w:rPr>
              <w:fldChar w:fldCharType="end"/>
            </w:r>
          </w:hyperlink>
        </w:p>
        <w:p w14:paraId="160C8C23" w14:textId="3625AC1E" w:rsidR="00DA1422" w:rsidRPr="00E53AD1" w:rsidRDefault="00DA1422">
          <w:pPr>
            <w:pStyle w:val="TOC1"/>
            <w:tabs>
              <w:tab w:val="right" w:pos="9016"/>
            </w:tabs>
            <w:rPr>
              <w:rFonts w:eastAsiaTheme="minorEastAsia"/>
              <w:b w:val="0"/>
              <w:bCs w:val="0"/>
              <w:noProof/>
              <w:sz w:val="24"/>
              <w:szCs w:val="24"/>
              <w:lang w:eastAsia="en-AU"/>
            </w:rPr>
          </w:pPr>
          <w:hyperlink w:anchor="_Toc228028945" w:history="1">
            <w:r w:rsidRPr="00E53AD1">
              <w:rPr>
                <w:rStyle w:val="Hyperlink"/>
                <w:b w:val="0"/>
                <w:bCs w:val="0"/>
                <w:noProof/>
                <w:sz w:val="24"/>
                <w:szCs w:val="24"/>
              </w:rPr>
              <w:t>Our Staff</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_Toc228028945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25</w:t>
            </w:r>
            <w:r w:rsidRPr="00E53AD1">
              <w:rPr>
                <w:b w:val="0"/>
                <w:bCs w:val="0"/>
                <w:noProof/>
                <w:webHidden/>
                <w:sz w:val="24"/>
                <w:szCs w:val="24"/>
              </w:rPr>
              <w:fldChar w:fldCharType="end"/>
            </w:r>
          </w:hyperlink>
        </w:p>
        <w:p w14:paraId="7A68D561" w14:textId="2A4CF163" w:rsidR="00DA1422" w:rsidRPr="00E53AD1" w:rsidRDefault="00DA1422">
          <w:pPr>
            <w:pStyle w:val="TOC1"/>
            <w:tabs>
              <w:tab w:val="right" w:pos="9016"/>
            </w:tabs>
            <w:rPr>
              <w:rFonts w:eastAsiaTheme="minorEastAsia"/>
              <w:b w:val="0"/>
              <w:bCs w:val="0"/>
              <w:noProof/>
              <w:sz w:val="24"/>
              <w:szCs w:val="24"/>
              <w:lang w:eastAsia="en-AU"/>
            </w:rPr>
          </w:pPr>
          <w:hyperlink w:anchor="_Toc228028946" w:history="1">
            <w:r w:rsidRPr="00E53AD1">
              <w:rPr>
                <w:rStyle w:val="Hyperlink"/>
                <w:b w:val="0"/>
                <w:bCs w:val="0"/>
                <w:noProof/>
                <w:sz w:val="24"/>
                <w:szCs w:val="24"/>
              </w:rPr>
              <w:t>Our Supporters and Funders</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_Toc228028946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26</w:t>
            </w:r>
            <w:r w:rsidRPr="00E53AD1">
              <w:rPr>
                <w:b w:val="0"/>
                <w:bCs w:val="0"/>
                <w:noProof/>
                <w:webHidden/>
                <w:sz w:val="24"/>
                <w:szCs w:val="24"/>
              </w:rPr>
              <w:fldChar w:fldCharType="end"/>
            </w:r>
          </w:hyperlink>
        </w:p>
        <w:p w14:paraId="533F06E3" w14:textId="22CEF30F" w:rsidR="00256AB9" w:rsidRPr="00256AB9" w:rsidRDefault="00256AB9" w:rsidP="00256AB9">
          <w:pPr>
            <w:pStyle w:val="TOC1"/>
            <w:tabs>
              <w:tab w:val="right" w:pos="9016"/>
            </w:tabs>
            <w:rPr>
              <w:b w:val="0"/>
              <w:bCs w:val="0"/>
              <w:sz w:val="28"/>
              <w:szCs w:val="28"/>
            </w:rPr>
          </w:pPr>
          <w:r w:rsidRPr="00E53AD1">
            <w:rPr>
              <w:b w:val="0"/>
              <w:bCs w:val="0"/>
              <w:i/>
              <w:iCs/>
              <w:sz w:val="24"/>
              <w:szCs w:val="24"/>
            </w:rPr>
            <w:fldChar w:fldCharType="end"/>
          </w:r>
        </w:p>
      </w:sdtContent>
    </w:sdt>
    <w:p w14:paraId="45B7B23A" w14:textId="77777777" w:rsidR="00256AB9" w:rsidRPr="00256AB9" w:rsidRDefault="00256AB9" w:rsidP="00256AB9">
      <w:pPr>
        <w:spacing w:before="480"/>
      </w:pPr>
      <w:r w:rsidRPr="00256AB9">
        <w:t>© Arts Access Victoria 2025</w:t>
      </w:r>
    </w:p>
    <w:p w14:paraId="4D2F4B4F" w14:textId="3EF4C0F9" w:rsidR="00256AB9" w:rsidRPr="00256AB9" w:rsidRDefault="00256AB9" w:rsidP="00256AB9">
      <w:r w:rsidRPr="00256AB9">
        <w:t>222 Bank Street, South</w:t>
      </w:r>
      <w:r>
        <w:t xml:space="preserve"> </w:t>
      </w:r>
      <w:r w:rsidRPr="00256AB9">
        <w:t>Melbourne 3205</w:t>
      </w:r>
    </w:p>
    <w:p w14:paraId="2A68F41C" w14:textId="77777777" w:rsidR="00256AB9" w:rsidRPr="00256AB9" w:rsidRDefault="00256AB9" w:rsidP="00256AB9">
      <w:r w:rsidRPr="00256AB9">
        <w:t>03 9699 8299 (Voice Only) / 0401 224 864 (Text or Voice)</w:t>
      </w:r>
    </w:p>
    <w:p w14:paraId="1769AAEB" w14:textId="77777777" w:rsidR="00256AB9" w:rsidRPr="00256AB9" w:rsidRDefault="00256AB9" w:rsidP="00256AB9">
      <w:r w:rsidRPr="00256AB9">
        <w:t>info@artsaccess.com.au</w:t>
      </w:r>
    </w:p>
    <w:p w14:paraId="7693CB8F" w14:textId="27FD1812" w:rsidR="00446D7B" w:rsidRDefault="00256AB9" w:rsidP="00715168">
      <w:r w:rsidRPr="00256AB9">
        <w:t>artsaccess.com.au</w:t>
      </w:r>
      <w:r w:rsidR="00446D7B">
        <w:br w:type="page"/>
      </w:r>
    </w:p>
    <w:p w14:paraId="3ADB5C08" w14:textId="76148B06" w:rsidR="00446D7B" w:rsidRDefault="00446D7B" w:rsidP="00446D7B">
      <w:pPr>
        <w:pStyle w:val="Heading1"/>
      </w:pPr>
      <w:bookmarkStart w:id="0" w:name="_Toc228028936"/>
      <w:r>
        <w:lastRenderedPageBreak/>
        <w:t>202</w:t>
      </w:r>
      <w:r w:rsidR="00FD6FD5">
        <w:t>5</w:t>
      </w:r>
      <w:r>
        <w:t xml:space="preserve"> in numbers</w:t>
      </w:r>
      <w:bookmarkEnd w:id="0"/>
      <w:r>
        <w:t xml:space="preserve"> </w:t>
      </w:r>
    </w:p>
    <w:p w14:paraId="5B8B99E2" w14:textId="77777777" w:rsidR="00FD6FD5" w:rsidRDefault="00FD6FD5" w:rsidP="00FD6FD5">
      <w:r>
        <w:t xml:space="preserve">We supported more than </w:t>
      </w:r>
      <w:r w:rsidRPr="00E53AD1">
        <w:rPr>
          <w:b/>
          <w:bCs/>
        </w:rPr>
        <w:t>1,800</w:t>
      </w:r>
      <w:r>
        <w:t xml:space="preserve"> artists.</w:t>
      </w:r>
    </w:p>
    <w:p w14:paraId="159B61C6" w14:textId="77777777" w:rsidR="00FD6FD5" w:rsidRDefault="00FD6FD5" w:rsidP="00FD6FD5">
      <w:r w:rsidRPr="00E53AD1">
        <w:rPr>
          <w:b/>
          <w:bCs/>
        </w:rPr>
        <w:t>529</w:t>
      </w:r>
      <w:r>
        <w:t xml:space="preserve"> new works were produced. </w:t>
      </w:r>
    </w:p>
    <w:p w14:paraId="0502A746" w14:textId="77777777" w:rsidR="00FD6FD5" w:rsidRDefault="00FD6FD5" w:rsidP="00FD6FD5">
      <w:r>
        <w:t xml:space="preserve">We presented </w:t>
      </w:r>
      <w:r w:rsidRPr="00E53AD1">
        <w:rPr>
          <w:b/>
          <w:bCs/>
        </w:rPr>
        <w:t>46</w:t>
      </w:r>
      <w:r>
        <w:t xml:space="preserve"> exhibitions and performances. </w:t>
      </w:r>
    </w:p>
    <w:p w14:paraId="51D7E0B3" w14:textId="77777777" w:rsidR="00FD6FD5" w:rsidRDefault="00FD6FD5" w:rsidP="00FD6FD5">
      <w:r>
        <w:t xml:space="preserve">We have </w:t>
      </w:r>
      <w:r w:rsidRPr="00E53AD1">
        <w:rPr>
          <w:b/>
          <w:bCs/>
        </w:rPr>
        <w:t>149</w:t>
      </w:r>
      <w:r>
        <w:t xml:space="preserve"> strategic partnerships. </w:t>
      </w:r>
    </w:p>
    <w:p w14:paraId="61D41CAD" w14:textId="77777777" w:rsidR="00FD6FD5" w:rsidRDefault="00FD6FD5" w:rsidP="00FD6FD5">
      <w:r w:rsidRPr="00E53AD1">
        <w:rPr>
          <w:b/>
          <w:bCs/>
        </w:rPr>
        <w:t>5308</w:t>
      </w:r>
      <w:r>
        <w:t xml:space="preserve"> people subscribe to our monthly eNews. </w:t>
      </w:r>
    </w:p>
    <w:p w14:paraId="215CF709" w14:textId="77777777" w:rsidR="00FD6FD5" w:rsidRDefault="00FD6FD5" w:rsidP="00FD6FD5">
      <w:r>
        <w:t xml:space="preserve">We engaged </w:t>
      </w:r>
      <w:r w:rsidRPr="00E53AD1">
        <w:rPr>
          <w:b/>
          <w:bCs/>
        </w:rPr>
        <w:t>61,949</w:t>
      </w:r>
      <w:r>
        <w:t xml:space="preserve"> audience members. </w:t>
      </w:r>
    </w:p>
    <w:p w14:paraId="067DD41D" w14:textId="77777777" w:rsidR="00FD6FD5" w:rsidRDefault="00FD6FD5" w:rsidP="00FD6FD5">
      <w:r>
        <w:t xml:space="preserve">Our websites had </w:t>
      </w:r>
      <w:r w:rsidRPr="00E53AD1">
        <w:rPr>
          <w:b/>
          <w:bCs/>
        </w:rPr>
        <w:t>94,000</w:t>
      </w:r>
      <w:r>
        <w:t xml:space="preserve"> views. </w:t>
      </w:r>
    </w:p>
    <w:p w14:paraId="243F06B9" w14:textId="77777777" w:rsidR="00FD6FD5" w:rsidRDefault="00FD6FD5" w:rsidP="00FD6FD5">
      <w:r w:rsidRPr="00E53AD1">
        <w:rPr>
          <w:b/>
          <w:bCs/>
        </w:rPr>
        <w:t>18,330</w:t>
      </w:r>
      <w:r>
        <w:t xml:space="preserve"> accounts follow us on social media. </w:t>
      </w:r>
    </w:p>
    <w:p w14:paraId="20F1A4CD" w14:textId="77777777" w:rsidR="00FD6FD5" w:rsidRDefault="00FD6FD5" w:rsidP="00FD6FD5">
      <w:r>
        <w:t xml:space="preserve">We ran </w:t>
      </w:r>
      <w:r w:rsidRPr="00E53AD1">
        <w:rPr>
          <w:b/>
          <w:bCs/>
        </w:rPr>
        <w:t>1,710</w:t>
      </w:r>
      <w:r>
        <w:t xml:space="preserve"> creative workshops and Mentorships</w:t>
      </w:r>
    </w:p>
    <w:p w14:paraId="714C0BC9" w14:textId="77777777" w:rsidR="00FD6FD5" w:rsidRDefault="00FD6FD5" w:rsidP="00FD6FD5">
      <w:r>
        <w:t xml:space="preserve">We ran </w:t>
      </w:r>
      <w:r w:rsidRPr="00E53AD1">
        <w:rPr>
          <w:b/>
          <w:bCs/>
        </w:rPr>
        <w:t xml:space="preserve">33 </w:t>
      </w:r>
      <w:r>
        <w:t>training workshops and consultations.</w:t>
      </w:r>
    </w:p>
    <w:p w14:paraId="0D6D0A85" w14:textId="569F8B3A" w:rsidR="00FD6FD5" w:rsidRDefault="00FD6FD5" w:rsidP="00FD6FD5">
      <w:r>
        <w:t xml:space="preserve">We received around </w:t>
      </w:r>
      <w:r w:rsidRPr="00E53AD1">
        <w:rPr>
          <w:b/>
          <w:bCs/>
        </w:rPr>
        <w:t>55,880</w:t>
      </w:r>
      <w:r>
        <w:t xml:space="preserve"> information requests. </w:t>
      </w:r>
    </w:p>
    <w:p w14:paraId="2B394465" w14:textId="77777777" w:rsidR="00FD6FD5" w:rsidRDefault="00FD6FD5" w:rsidP="00FD6FD5">
      <w:r>
        <w:t xml:space="preserve">We provided </w:t>
      </w:r>
      <w:r w:rsidRPr="00E53AD1">
        <w:rPr>
          <w:b/>
          <w:bCs/>
        </w:rPr>
        <w:t xml:space="preserve">210 </w:t>
      </w:r>
      <w:r>
        <w:t xml:space="preserve">artists with paid opportunities. </w:t>
      </w:r>
    </w:p>
    <w:p w14:paraId="10C7C1A7" w14:textId="4F019362" w:rsidR="00446D7B" w:rsidRDefault="00FD6FD5" w:rsidP="00FD6FD5">
      <w:r>
        <w:t xml:space="preserve">We supported </w:t>
      </w:r>
      <w:r w:rsidRPr="00E53AD1">
        <w:rPr>
          <w:b/>
          <w:bCs/>
        </w:rPr>
        <w:t>197</w:t>
      </w:r>
      <w:r>
        <w:t xml:space="preserve"> artists applying for funding. </w:t>
      </w:r>
      <w:r w:rsidR="00446D7B">
        <w:br w:type="page"/>
      </w:r>
    </w:p>
    <w:p w14:paraId="7C4B62EF" w14:textId="77777777" w:rsidR="00446D7B" w:rsidRDefault="00446D7B" w:rsidP="00446D7B">
      <w:pPr>
        <w:pStyle w:val="Heading1"/>
      </w:pPr>
      <w:bookmarkStart w:id="1" w:name="_Toc228028937"/>
      <w:r>
        <w:lastRenderedPageBreak/>
        <w:t xml:space="preserve">About </w:t>
      </w:r>
      <w:r w:rsidRPr="00446D7B">
        <w:t>Arts Access Victoria</w:t>
      </w:r>
      <w:bookmarkEnd w:id="1"/>
      <w:r>
        <w:t xml:space="preserve"> </w:t>
      </w:r>
    </w:p>
    <w:p w14:paraId="12BAF346" w14:textId="77777777" w:rsidR="00446D7B" w:rsidRDefault="00446D7B" w:rsidP="00446D7B">
      <w:r>
        <w:t>Arts Access Victoria (AAV) is the state’s peak body for arts and disability. Since 1974, AAV has been a leader in disability arts practice, access and cultural equity. AAV is disability-led. AAV produces and platforms the work of Deaf and Disabled artists. AAV’s goals are to:</w:t>
      </w:r>
    </w:p>
    <w:p w14:paraId="4326D9BF" w14:textId="77777777" w:rsidR="00446D7B" w:rsidRDefault="00446D7B" w:rsidP="00446D7B">
      <w:pPr>
        <w:pStyle w:val="ListParagraph"/>
        <w:numPr>
          <w:ilvl w:val="0"/>
          <w:numId w:val="25"/>
        </w:numPr>
      </w:pPr>
      <w:r>
        <w:t>Define and build cultural equity for Deaf and Disabled people</w:t>
      </w:r>
    </w:p>
    <w:p w14:paraId="3105F175" w14:textId="77777777" w:rsidR="00446D7B" w:rsidRDefault="00446D7B" w:rsidP="00446D7B">
      <w:pPr>
        <w:pStyle w:val="ListParagraph"/>
        <w:numPr>
          <w:ilvl w:val="0"/>
          <w:numId w:val="25"/>
        </w:numPr>
      </w:pPr>
      <w:r>
        <w:t>Target and shift the barriers and conditions that maintain cultural inequity</w:t>
      </w:r>
    </w:p>
    <w:p w14:paraId="0697EE77" w14:textId="1DBB2EFA" w:rsidR="00446D7B" w:rsidRDefault="00446D7B" w:rsidP="00446D7B">
      <w:pPr>
        <w:pStyle w:val="ListParagraph"/>
        <w:numPr>
          <w:ilvl w:val="0"/>
          <w:numId w:val="25"/>
        </w:numPr>
      </w:pPr>
      <w:r>
        <w:t>Position AAV as a resilient and dynamic powerhouse to extend its role and impact.</w:t>
      </w:r>
    </w:p>
    <w:p w14:paraId="0DA40AB3" w14:textId="77777777" w:rsidR="00446D7B" w:rsidRDefault="00446D7B" w:rsidP="00446D7B">
      <w:r>
        <w:t>We want everyone represented in all areas of the arts, screen and creative industries. We believe art is a tool for change. We celebrate the aesthetic potential of disability and access. We share authentic stories that are ours to tell. We produce and platform excellence in disability arts and culture.</w:t>
      </w:r>
    </w:p>
    <w:p w14:paraId="693B22BB" w14:textId="77777777" w:rsidR="00446D7B" w:rsidRDefault="00446D7B" w:rsidP="00446D7B">
      <w:r>
        <w:t>AAV shares unique and untold stories that challenge the issues that frame the lives of Deaf and Disabled people. It places Deaf and Disabled artists, not at the margins, but centre stage. Recognising them instead as significant and invaluable contributors to the Australian cultural landscape.</w:t>
      </w:r>
    </w:p>
    <w:p w14:paraId="1CB0587F" w14:textId="77777777" w:rsidR="00446D7B" w:rsidRDefault="00446D7B" w:rsidP="00446D7B">
      <w:pPr>
        <w:pStyle w:val="Heading2"/>
      </w:pPr>
      <w:r>
        <w:t>What Is Plain English?</w:t>
      </w:r>
    </w:p>
    <w:p w14:paraId="2392CFC5" w14:textId="52396D8B" w:rsidR="00446D7B" w:rsidRDefault="00446D7B" w:rsidP="00446D7B">
      <w:r>
        <w:t>This Annual Report is in Plain English. The Plain English Campaign started in the UK in 1974 by Chrissie Maher OBE. Chrissie shredded hundreds of official documents in Parliament Square, London as a protest. She was angry because people were not receiving government money they were owed. The forms and paperwork to receive their money were too difficult to understand. Chrissie Maher wants us to make information accessible for all. Here in Australia, most people read up to a Year 7 or 8 level of literacy. Let’s use Plain English to include everyone.</w:t>
      </w:r>
      <w:r>
        <w:br w:type="page"/>
      </w:r>
    </w:p>
    <w:p w14:paraId="60EE318E" w14:textId="5E5BEABA" w:rsidR="00446D7B" w:rsidRDefault="00446D7B" w:rsidP="00446D7B">
      <w:pPr>
        <w:pStyle w:val="Heading1"/>
      </w:pPr>
      <w:bookmarkStart w:id="2" w:name="_Toc228028938"/>
      <w:r>
        <w:lastRenderedPageBreak/>
        <w:t>A Message from the Chair</w:t>
      </w:r>
      <w:bookmarkEnd w:id="2"/>
    </w:p>
    <w:p w14:paraId="4370CF63" w14:textId="77777777" w:rsidR="00FD6FD5" w:rsidRDefault="00FD6FD5" w:rsidP="00FD6FD5">
      <w:r>
        <w:t>2025 was a strong and inspiring year for Arts Access Victoria.</w:t>
      </w:r>
    </w:p>
    <w:p w14:paraId="59D0F1CA" w14:textId="77777777" w:rsidR="00FD6FD5" w:rsidRDefault="00FD6FD5" w:rsidP="00FD6FD5">
      <w:r>
        <w:t xml:space="preserve">After celebrating our 50-year milestone in 2024, we moved forward with energy and focus with our CEO Joshua Pether, a brilliant artist and leader. We supported Deaf and Disabled artists to create, connect and lead. </w:t>
      </w:r>
    </w:p>
    <w:p w14:paraId="3FD8B0A5" w14:textId="77777777" w:rsidR="00FD6FD5" w:rsidRDefault="00FD6FD5" w:rsidP="00FD6FD5">
      <w:r>
        <w:t>I would like to thank our Major funding partners, particularly Creative Australia and the Victorian Government.</w:t>
      </w:r>
    </w:p>
    <w:p w14:paraId="76FD70BF" w14:textId="77777777" w:rsidR="00FD6FD5" w:rsidRDefault="00FD6FD5" w:rsidP="00FD6FD5">
      <w:r>
        <w:t>At the heart of everything we do is a clear vision: Deaf and Disabled people at the centre of the arts. We celebrate the creativity and leadership of our community and continue working to remove barriers.</w:t>
      </w:r>
    </w:p>
    <w:p w14:paraId="73DB422D" w14:textId="77777777" w:rsidR="00FD6FD5" w:rsidRDefault="00FD6FD5" w:rsidP="00FD6FD5">
      <w:r>
        <w:t>Thank you to our AAV Board for their support and service to the organisation. They bring incredible experience and passion to the organisation. We welcomed Sargoon Singh as our new Treasurer and Rosie Kilvert and Laine Chew to our Board.</w:t>
      </w:r>
    </w:p>
    <w:p w14:paraId="3D869CAD" w14:textId="4109B5C5" w:rsidR="00FD6FD5" w:rsidRDefault="00FD6FD5" w:rsidP="00FD6FD5">
      <w:r>
        <w:t xml:space="preserve">Thank you to </w:t>
      </w:r>
      <w:r w:rsidR="00AF5E6F">
        <w:t>all</w:t>
      </w:r>
      <w:r>
        <w:t xml:space="preserve"> the AAV staff, who advocate fiercely and creatively for Deaf and Disabled artists and audiences across Victoria. </w:t>
      </w:r>
    </w:p>
    <w:p w14:paraId="70357B13" w14:textId="77777777" w:rsidR="00FD6FD5" w:rsidRDefault="00FD6FD5" w:rsidP="00FD6FD5">
      <w:r>
        <w:t>And finally thank you to the artists we work with. I’ve loved the stories, music, images and objects that I have experienced this year. Thank you.</w:t>
      </w:r>
    </w:p>
    <w:p w14:paraId="1ACA2F57" w14:textId="2595DCF8" w:rsidR="00446D7B" w:rsidRDefault="00FD6FD5" w:rsidP="00FD6FD5">
      <w:r>
        <w:t>We are proud of what we achieved in 2025 and excited for what comes next.</w:t>
      </w:r>
    </w:p>
    <w:p w14:paraId="3DD63E9F" w14:textId="777DEDC3" w:rsidR="00446D7B" w:rsidRDefault="003F24AE" w:rsidP="00446D7B">
      <w:pPr>
        <w:jc w:val="right"/>
      </w:pPr>
      <w:r>
        <w:t xml:space="preserve">- </w:t>
      </w:r>
      <w:r w:rsidR="00446D7B">
        <w:t>Nic Vogelpoel, AAV Chair.</w:t>
      </w:r>
    </w:p>
    <w:p w14:paraId="3E0ED46A" w14:textId="5221B190" w:rsidR="00446D7B" w:rsidRDefault="00446D7B" w:rsidP="00446D7B">
      <w:pPr>
        <w:pStyle w:val="Heading1"/>
      </w:pPr>
      <w:bookmarkStart w:id="3" w:name="_Toc228028939"/>
      <w:r>
        <w:t>A Message from the CEO</w:t>
      </w:r>
      <w:bookmarkEnd w:id="3"/>
    </w:p>
    <w:p w14:paraId="1F9385C1" w14:textId="77777777" w:rsidR="00FD6FD5" w:rsidRDefault="00FD6FD5" w:rsidP="00FD6FD5">
      <w:r>
        <w:t xml:space="preserve">It is a year since taking the position as the CEO of Arts Access Victoria. Since that time, I have witnessed the growth of our organisation and the number of artists we support on a day-to-day basis. </w:t>
      </w:r>
    </w:p>
    <w:p w14:paraId="797EF8AE" w14:textId="77777777" w:rsidR="00FD6FD5" w:rsidRDefault="00FD6FD5" w:rsidP="00FD6FD5">
      <w:r>
        <w:t xml:space="preserve">Arts Access Victoria has become a place for artists to dream and think about their next project and with support from staff at Arts Access Victoria that has become a reality. </w:t>
      </w:r>
    </w:p>
    <w:p w14:paraId="17171490" w14:textId="77777777" w:rsidR="00FD6FD5" w:rsidRDefault="00FD6FD5" w:rsidP="00FD6FD5">
      <w:r>
        <w:t xml:space="preserve">The year saw many studio artists presenting work for the first time. From exhibitions at Counihan Gallery to collaborations with Golden Scissor Puppets, AAV artists have displayed their exceptional talent and skill. Our mentorship program expanded to over 60 mentorships. We had our very first mentorship meetup which became an invaluable experience for all involved. </w:t>
      </w:r>
    </w:p>
    <w:p w14:paraId="6B7C9AC6" w14:textId="77777777" w:rsidR="00FD6FD5" w:rsidRDefault="00FD6FD5" w:rsidP="00FD6FD5">
      <w:r>
        <w:lastRenderedPageBreak/>
        <w:t xml:space="preserve">In 2025 Arts Access Victoria’s training and consultation team were successful with a Department of Social Services grant which allowed our team to expand our reach to broader parts of the sector with our free training programmes. </w:t>
      </w:r>
    </w:p>
    <w:p w14:paraId="264A7C31" w14:textId="77777777" w:rsidR="00FD6FD5" w:rsidRDefault="00FD6FD5" w:rsidP="00FD6FD5">
      <w:r>
        <w:t xml:space="preserve">Arts Access Victoria engagement with First Nations spaces continued with our partnership with YIRRAMBOI Festival and the First Nations Yarning Circle and then later in the year with the Gathering at Koorie Heritage Trust. This key partnership will continue with YIRRAMBOI in 2027. </w:t>
      </w:r>
    </w:p>
    <w:p w14:paraId="128B2AC3" w14:textId="77777777" w:rsidR="00FD6FD5" w:rsidRDefault="00FD6FD5" w:rsidP="00FD6FD5">
      <w:r>
        <w:t xml:space="preserve">We ended the year with the 21st Anniversary of The Other Film Festival (TOFF), where we proved once again that Deaf and Disabled people are exceptional artists who have a unique voice to offer screen and storytelling. </w:t>
      </w:r>
    </w:p>
    <w:p w14:paraId="25D8C1F1" w14:textId="55B5CA31" w:rsidR="00446D7B" w:rsidRDefault="00FD6FD5" w:rsidP="00FD6FD5">
      <w:r>
        <w:t>I would like to thank the staff, our partners, our Board and Chair Nic Vogelpoel for your unwavering support of my vision and especially thank you to the artists who make what I do worth it every day</w:t>
      </w:r>
      <w:r w:rsidR="00446D7B">
        <w:t>.</w:t>
      </w:r>
    </w:p>
    <w:p w14:paraId="15840BB5" w14:textId="05C1E920" w:rsidR="00446D7B" w:rsidRDefault="00446D7B" w:rsidP="00446D7B">
      <w:pPr>
        <w:jc w:val="right"/>
      </w:pPr>
      <w:r>
        <w:t>- Joshua Pether, AAV CEO</w:t>
      </w:r>
      <w:r>
        <w:br w:type="page"/>
      </w:r>
    </w:p>
    <w:p w14:paraId="4BEEC22F" w14:textId="40540694" w:rsidR="00FD6FD5" w:rsidRDefault="00FD6FD5" w:rsidP="009D0608">
      <w:pPr>
        <w:pStyle w:val="Heading1"/>
        <w:rPr>
          <w:rFonts w:asciiTheme="majorHAnsi" w:hAnsiTheme="majorHAnsi" w:cstheme="majorHAnsi"/>
          <w:b w:val="0"/>
          <w:bCs w:val="0"/>
          <w:sz w:val="72"/>
          <w:szCs w:val="72"/>
        </w:rPr>
      </w:pPr>
      <w:bookmarkStart w:id="4" w:name="_Toc228028940"/>
      <w:r w:rsidRPr="00FD6FD5">
        <w:rPr>
          <w:rFonts w:asciiTheme="majorHAnsi" w:hAnsiTheme="majorHAnsi" w:cstheme="majorHAnsi"/>
          <w:b w:val="0"/>
          <w:bCs w:val="0"/>
          <w:sz w:val="72"/>
          <w:szCs w:val="72"/>
        </w:rPr>
        <w:lastRenderedPageBreak/>
        <w:t xml:space="preserve">Doing </w:t>
      </w:r>
      <w:r>
        <w:rPr>
          <w:rFonts w:asciiTheme="majorHAnsi" w:hAnsiTheme="majorHAnsi" w:cstheme="majorHAnsi"/>
          <w:b w:val="0"/>
          <w:bCs w:val="0"/>
          <w:sz w:val="72"/>
          <w:szCs w:val="72"/>
        </w:rPr>
        <w:t>W</w:t>
      </w:r>
      <w:r w:rsidRPr="00FD6FD5">
        <w:rPr>
          <w:rFonts w:asciiTheme="majorHAnsi" w:hAnsiTheme="majorHAnsi" w:cstheme="majorHAnsi"/>
          <w:b w:val="0"/>
          <w:bCs w:val="0"/>
          <w:sz w:val="72"/>
          <w:szCs w:val="72"/>
        </w:rPr>
        <w:t xml:space="preserve">hat </w:t>
      </w:r>
      <w:r>
        <w:rPr>
          <w:rFonts w:asciiTheme="majorHAnsi" w:hAnsiTheme="majorHAnsi" w:cstheme="majorHAnsi"/>
          <w:b w:val="0"/>
          <w:bCs w:val="0"/>
          <w:sz w:val="72"/>
          <w:szCs w:val="72"/>
        </w:rPr>
        <w:t>W</w:t>
      </w:r>
      <w:r w:rsidRPr="00FD6FD5">
        <w:rPr>
          <w:rFonts w:asciiTheme="majorHAnsi" w:hAnsiTheme="majorHAnsi" w:cstheme="majorHAnsi"/>
          <w:b w:val="0"/>
          <w:bCs w:val="0"/>
          <w:sz w:val="72"/>
          <w:szCs w:val="72"/>
        </w:rPr>
        <w:t xml:space="preserve">e </w:t>
      </w:r>
      <w:r>
        <w:rPr>
          <w:rFonts w:asciiTheme="majorHAnsi" w:hAnsiTheme="majorHAnsi" w:cstheme="majorHAnsi"/>
          <w:b w:val="0"/>
          <w:bCs w:val="0"/>
          <w:sz w:val="72"/>
          <w:szCs w:val="72"/>
        </w:rPr>
        <w:t>D</w:t>
      </w:r>
      <w:r w:rsidRPr="00FD6FD5">
        <w:rPr>
          <w:rFonts w:asciiTheme="majorHAnsi" w:hAnsiTheme="majorHAnsi" w:cstheme="majorHAnsi"/>
          <w:b w:val="0"/>
          <w:bCs w:val="0"/>
          <w:sz w:val="72"/>
          <w:szCs w:val="72"/>
        </w:rPr>
        <w:t xml:space="preserve">o </w:t>
      </w:r>
      <w:r>
        <w:rPr>
          <w:rFonts w:asciiTheme="majorHAnsi" w:hAnsiTheme="majorHAnsi" w:cstheme="majorHAnsi"/>
          <w:b w:val="0"/>
          <w:bCs w:val="0"/>
          <w:sz w:val="72"/>
          <w:szCs w:val="72"/>
        </w:rPr>
        <w:t>B</w:t>
      </w:r>
      <w:r w:rsidRPr="00FD6FD5">
        <w:rPr>
          <w:rFonts w:asciiTheme="majorHAnsi" w:hAnsiTheme="majorHAnsi" w:cstheme="majorHAnsi"/>
          <w:b w:val="0"/>
          <w:bCs w:val="0"/>
          <w:sz w:val="72"/>
          <w:szCs w:val="72"/>
        </w:rPr>
        <w:t>est</w:t>
      </w:r>
      <w:bookmarkEnd w:id="4"/>
    </w:p>
    <w:p w14:paraId="0AD30ECE" w14:textId="3633FBE6" w:rsidR="00FD6FD5" w:rsidRDefault="00FD6FD5" w:rsidP="00FD6FD5">
      <w:r>
        <w:t>2025 was a year of hard work and determination. After the celebrations in 2024, we focused on what we do best: supporting Deaf and Disabled artists, arts workers and audiences.</w:t>
      </w:r>
    </w:p>
    <w:p w14:paraId="5DEBA397" w14:textId="77777777" w:rsidR="00FD6FD5" w:rsidRDefault="00FD6FD5" w:rsidP="00FD6FD5">
      <w:r>
        <w:t xml:space="preserve">We expanded our major artistic programs through new partnerships. We worked with more artists and creatives in regional and remote locations. Our programs reached people and organisations throughout the state, increasing participation across the board. </w:t>
      </w:r>
    </w:p>
    <w:p w14:paraId="33EFBEE2" w14:textId="77777777" w:rsidR="00FD6FD5" w:rsidRDefault="00FD6FD5" w:rsidP="00FD6FD5">
      <w:r>
        <w:t>We received funding to expand our training and consultation program. With this, we supported more parts of the sector than ever before. The funding allowed us to engage micro to small organisations who could not otherwise access training. We delivered public workplace training to support broader change in the arts.</w:t>
      </w:r>
    </w:p>
    <w:p w14:paraId="4F7C9839" w14:textId="0F7AB494" w:rsidR="00446D7B" w:rsidRDefault="00FD6FD5" w:rsidP="00FD6FD5">
      <w:r>
        <w:t>The Mentoring program expanded, with our first mentor-mentee meet up. We supported more artists to achieve their goals, including international travel. We are proud of all the firsts we achieved for the artists we work with this year.</w:t>
      </w:r>
    </w:p>
    <w:p w14:paraId="6E54BC73" w14:textId="77777777" w:rsidR="00FD6FD5" w:rsidRDefault="00FD6FD5" w:rsidP="00FD6FD5">
      <w:pPr>
        <w:pStyle w:val="Heading2"/>
      </w:pPr>
      <w:r w:rsidRPr="00256AB9">
        <w:t>The</w:t>
      </w:r>
      <w:r>
        <w:t xml:space="preserve"> Gathering</w:t>
      </w:r>
    </w:p>
    <w:p w14:paraId="6121905D" w14:textId="6BC3F9BD" w:rsidR="00FD6FD5" w:rsidRDefault="00FD6FD5" w:rsidP="00FD6FD5">
      <w:r>
        <w:t>The Gathering is our networking and community event connecting Deaf and Disabled artists with AAV, other organisations and each other. In 2025 AAV hosted 9 Gatherings with a total amount of 138 people attending. These were online, in person and hybrid.</w:t>
      </w:r>
    </w:p>
    <w:p w14:paraId="24808B83" w14:textId="2B755909" w:rsidR="00FD6FD5" w:rsidRDefault="00FD6FD5" w:rsidP="00FD6FD5">
      <w:r>
        <w:t>We worked with several organisations to present The Gathering. These include YIRRAMBOI, St Kilda Film Festival, Counihan Gallery, Cross Road Arts and West Space. These partnerships highlighted the Deaf and Disabled artists and the work these organisations are doing to support these artists and the community.</w:t>
      </w:r>
    </w:p>
    <w:p w14:paraId="62645642" w14:textId="77777777" w:rsidR="00FD6FD5" w:rsidRDefault="00FD6FD5" w:rsidP="00FD6FD5">
      <w:pPr>
        <w:pStyle w:val="Heading3"/>
      </w:pPr>
      <w:r>
        <w:t>First Nations Engagement</w:t>
      </w:r>
    </w:p>
    <w:p w14:paraId="3E4E19B6" w14:textId="77777777" w:rsidR="00FD6FD5" w:rsidRDefault="00FD6FD5" w:rsidP="00FD6FD5">
      <w:r>
        <w:t>In 2025 AAV began a collaboration with Koorie Heritage Trust (KHT). Both organisations are now working together to increase their knowledge and understanding of each other’s communities. AAV will continue to engage in meaningful dialogue with the First Nations communities here in Naarm.</w:t>
      </w:r>
    </w:p>
    <w:p w14:paraId="553D3EFF" w14:textId="77777777" w:rsidR="00FD6FD5" w:rsidRDefault="00FD6FD5" w:rsidP="00FD6FD5">
      <w:r>
        <w:t>YIRRAMBOI Festival were the first arts organisation in 2025 to host The Gathering. This partnership is significant in that it is the first time AAV has partnered with a First Nations organisation. This highlights the journey YIRRAMBOI have been on with access and inclusion.</w:t>
      </w:r>
    </w:p>
    <w:p w14:paraId="29A69B59" w14:textId="77777777" w:rsidR="00FD6FD5" w:rsidRDefault="00FD6FD5" w:rsidP="00FD6FD5">
      <w:r>
        <w:lastRenderedPageBreak/>
        <w:t xml:space="preserve">The partnership began in 2024 when YIRRAMBOI were part of the First Nations Deaf and Disabled Yarning Circle at Alter State and continued when YIRRAMBOI hosted their own version of the Yarning Circle at YIRRAMBOI 2025. Over this time AAV has worked with YIRRAMBOI providing advice regarding access and inclusion and assistance in supporting the artists that were part of the Yarning Circle. </w:t>
      </w:r>
    </w:p>
    <w:p w14:paraId="77A26F95" w14:textId="77777777" w:rsidR="00FD6FD5" w:rsidRDefault="00FD6FD5" w:rsidP="00FD6FD5">
      <w:r>
        <w:t>In this short period of time, YIRRAMBOI has become a space where artists who are both First Nations and Deaf and Disabled can see themselves both represented in the community an on the main stage of a festival platform such as YIRRAMBOI.</w:t>
      </w:r>
    </w:p>
    <w:p w14:paraId="342A85C4" w14:textId="2D9FA78F" w:rsidR="00FD6FD5" w:rsidRDefault="00FD6FD5" w:rsidP="00FD6FD5">
      <w:r>
        <w:t>AAV’s last Gathering for 2025 was a hybrid event in collaboration with The Other Film Festival (TOFF) and Koorie Heritage Trust. This event was a celebration of AAV’s work as part of the First Nations Deaf and Disabled Yarning Circle and to showcase the video trailer that was made to document the event. The event featured participants from the First Nations Yarning Circle and partner organisations YIRRAMBOI and Arts Centre Melbourne.</w:t>
      </w:r>
    </w:p>
    <w:p w14:paraId="6EE3D4D6" w14:textId="1CADAC1C" w:rsidR="00446D7B" w:rsidRDefault="00FD6FD5" w:rsidP="009D0608">
      <w:pPr>
        <w:pStyle w:val="Heading2"/>
      </w:pPr>
      <w:r>
        <w:t>Arts Programs</w:t>
      </w:r>
    </w:p>
    <w:p w14:paraId="3568FC9F" w14:textId="6003757E" w:rsidR="00446D7B" w:rsidRDefault="00FD6FD5" w:rsidP="00446D7B">
      <w:r>
        <w:t>AAV continued to deliver opportunities for Deaf and Disabled people to participate in the arts. We worked across metro Melbourne, outer-metro and regional Victoria.</w:t>
      </w:r>
    </w:p>
    <w:p w14:paraId="17B02260" w14:textId="09AC6E77" w:rsidR="00446D7B" w:rsidRDefault="00732AEF" w:rsidP="009D0608">
      <w:pPr>
        <w:pStyle w:val="Heading3"/>
      </w:pPr>
      <w:r>
        <w:t>AAV Studios</w:t>
      </w:r>
    </w:p>
    <w:p w14:paraId="3E297558" w14:textId="40841613" w:rsidR="00446D7B" w:rsidRDefault="00732AEF" w:rsidP="00446D7B">
      <w:r w:rsidRPr="003F24AE">
        <w:t>Our inclusive arts studios continued to thrive in 2025.</w:t>
      </w:r>
    </w:p>
    <w:p w14:paraId="4D37E563" w14:textId="3404959D" w:rsidR="00446D7B" w:rsidRDefault="00446D7B" w:rsidP="009D0608">
      <w:pPr>
        <w:pStyle w:val="Heading4"/>
      </w:pPr>
      <w:r>
        <w:t>Way Out West</w:t>
      </w:r>
    </w:p>
    <w:p w14:paraId="557DC86E" w14:textId="0459ED75" w:rsidR="00732AEF" w:rsidRDefault="00732AEF" w:rsidP="00732AEF">
      <w:r>
        <w:t>WOW partnered with Task at Hand Theatre Company for Street to Stage: Spaces In Between at The Bowery Theatre. We ran dance and movement workshops with Task at Hand. These workshops prepared artists for a site-specific performance that included visual art, dance and puppetry.</w:t>
      </w:r>
    </w:p>
    <w:p w14:paraId="4560742C" w14:textId="08F75F06" w:rsidR="00446D7B" w:rsidRDefault="00732AEF" w:rsidP="00732AEF">
      <w:pPr>
        <w:rPr>
          <w:sz w:val="23"/>
          <w:szCs w:val="23"/>
        </w:rPr>
      </w:pPr>
      <w:r>
        <w:t>We supported two WOW artists to facilitate workshops for young people as part of Maker Space. One of the artists, Kate, told us running the workshop helped build her confidence.</w:t>
      </w:r>
    </w:p>
    <w:p w14:paraId="0B595D3E" w14:textId="7522D4A4" w:rsidR="00446D7B" w:rsidRDefault="00732AEF" w:rsidP="009D0608">
      <w:pPr>
        <w:pStyle w:val="Heading4"/>
      </w:pPr>
      <w:r>
        <w:t>Maidstone</w:t>
      </w:r>
    </w:p>
    <w:p w14:paraId="3C2C8FE7" w14:textId="3F2874CC" w:rsidR="00732AEF" w:rsidRDefault="00732AEF" w:rsidP="00446D7B">
      <w:r w:rsidRPr="00732AEF">
        <w:t>Maidstone continued to provide support to Deaf and Disabled artists without NDIS funding. The studio space is in the western suburbs of Melbourne. In May, we presented In Bloom at the Maidstone Community Centre.</w:t>
      </w:r>
    </w:p>
    <w:p w14:paraId="4393A303" w14:textId="5338AB3B" w:rsidR="00732AEF" w:rsidRDefault="00732AEF" w:rsidP="00732AEF">
      <w:pPr>
        <w:jc w:val="center"/>
        <w:rPr>
          <w:iCs/>
          <w:color w:val="404040" w:themeColor="text1" w:themeTint="BF"/>
        </w:rPr>
      </w:pPr>
      <w:r w:rsidRPr="00732AEF">
        <w:rPr>
          <w:iCs/>
          <w:color w:val="404040" w:themeColor="text1" w:themeTint="BF"/>
        </w:rPr>
        <w:t xml:space="preserve">"What do I like about this group? The friendliness, the calmness, the individual pieces we do... and the sharing." </w:t>
      </w:r>
      <w:r w:rsidR="003F24AE">
        <w:rPr>
          <w:iCs/>
          <w:color w:val="404040" w:themeColor="text1" w:themeTint="BF"/>
        </w:rPr>
        <w:t xml:space="preserve">– </w:t>
      </w:r>
      <w:r w:rsidRPr="00732AEF">
        <w:rPr>
          <w:iCs/>
          <w:color w:val="404040" w:themeColor="text1" w:themeTint="BF"/>
        </w:rPr>
        <w:t xml:space="preserve">Veronica </w:t>
      </w:r>
      <w:proofErr w:type="spellStart"/>
      <w:r w:rsidRPr="00732AEF">
        <w:rPr>
          <w:iCs/>
          <w:color w:val="404040" w:themeColor="text1" w:themeTint="BF"/>
        </w:rPr>
        <w:t>Jurotovac</w:t>
      </w:r>
      <w:proofErr w:type="spellEnd"/>
      <w:r w:rsidRPr="00732AEF">
        <w:rPr>
          <w:iCs/>
          <w:color w:val="404040" w:themeColor="text1" w:themeTint="BF"/>
        </w:rPr>
        <w:t>, Maidstone</w:t>
      </w:r>
      <w:r w:rsidR="003F24AE">
        <w:rPr>
          <w:iCs/>
          <w:color w:val="404040" w:themeColor="text1" w:themeTint="BF"/>
        </w:rPr>
        <w:t xml:space="preserve"> artist</w:t>
      </w:r>
    </w:p>
    <w:p w14:paraId="29D4A89A" w14:textId="089B297F" w:rsidR="00446D7B" w:rsidRDefault="00446D7B" w:rsidP="00446D7B">
      <w:r>
        <w:lastRenderedPageBreak/>
        <w:t>Nimbus artists responded to the politics of A Taste of Crime. While Artstop responded to the mental health themes in the performance.</w:t>
      </w:r>
    </w:p>
    <w:p w14:paraId="211D6FA6" w14:textId="5CE44F8C" w:rsidR="00446D7B" w:rsidRDefault="000C5AC1" w:rsidP="00732AEF">
      <w:pPr>
        <w:pStyle w:val="Heading5"/>
      </w:pPr>
      <w:r>
        <w:t xml:space="preserve">Exhibition: </w:t>
      </w:r>
      <w:r w:rsidR="00732AEF">
        <w:t>In Bloom</w:t>
      </w:r>
    </w:p>
    <w:p w14:paraId="32970646" w14:textId="7AFBF571" w:rsidR="00446D7B" w:rsidRDefault="00732AEF" w:rsidP="00446D7B">
      <w:r w:rsidRPr="00732AEF">
        <w:t>The artists worked together to develop the theme, In Bloom. They created the works they wanted to make as part of the exhibition. They worked with the facilitators to create individual Artist Statements. Artists also wrote and recorded the audio description for each work.</w:t>
      </w:r>
    </w:p>
    <w:p w14:paraId="414EE445" w14:textId="0EEF263D" w:rsidR="00732AEF" w:rsidRPr="00732AEF" w:rsidRDefault="00732AEF" w:rsidP="00732AEF">
      <w:pPr>
        <w:jc w:val="center"/>
        <w:rPr>
          <w:iCs/>
          <w:color w:val="404040" w:themeColor="text1" w:themeTint="BF"/>
        </w:rPr>
      </w:pPr>
      <w:r w:rsidRPr="00732AEF">
        <w:rPr>
          <w:iCs/>
          <w:color w:val="404040" w:themeColor="text1" w:themeTint="BF"/>
        </w:rPr>
        <w:t xml:space="preserve">“So happy with our opening, what a great day it was!” </w:t>
      </w:r>
      <w:r w:rsidR="003F24AE">
        <w:rPr>
          <w:iCs/>
          <w:color w:val="404040" w:themeColor="text1" w:themeTint="BF"/>
        </w:rPr>
        <w:t xml:space="preserve">– </w:t>
      </w:r>
      <w:r w:rsidRPr="00732AEF">
        <w:rPr>
          <w:iCs/>
          <w:color w:val="404040" w:themeColor="text1" w:themeTint="BF"/>
        </w:rPr>
        <w:t>Linda</w:t>
      </w:r>
      <w:r w:rsidR="003F24AE">
        <w:rPr>
          <w:iCs/>
          <w:color w:val="404040" w:themeColor="text1" w:themeTint="BF"/>
        </w:rPr>
        <w:t>, Maidstone artist</w:t>
      </w:r>
    </w:p>
    <w:p w14:paraId="57A8DA70" w14:textId="6DDA685E" w:rsidR="00732AEF" w:rsidRDefault="00732AEF" w:rsidP="00732AEF">
      <w:pPr>
        <w:jc w:val="center"/>
        <w:rPr>
          <w:iCs/>
          <w:color w:val="404040" w:themeColor="text1" w:themeTint="BF"/>
        </w:rPr>
      </w:pPr>
      <w:r w:rsidRPr="00732AEF">
        <w:rPr>
          <w:iCs/>
          <w:color w:val="404040" w:themeColor="text1" w:themeTint="BF"/>
        </w:rPr>
        <w:t xml:space="preserve">“I feel calm, happy. I feel happy because I look at other people’s art and it makes me feel happy. It gives me inspiration.” </w:t>
      </w:r>
      <w:r w:rsidR="003F24AE">
        <w:rPr>
          <w:iCs/>
          <w:color w:val="404040" w:themeColor="text1" w:themeTint="BF"/>
        </w:rPr>
        <w:t xml:space="preserve">– </w:t>
      </w:r>
      <w:r w:rsidRPr="00732AEF">
        <w:rPr>
          <w:iCs/>
          <w:color w:val="404040" w:themeColor="text1" w:themeTint="BF"/>
        </w:rPr>
        <w:t>Maria</w:t>
      </w:r>
      <w:r w:rsidR="003F24AE">
        <w:rPr>
          <w:iCs/>
          <w:color w:val="404040" w:themeColor="text1" w:themeTint="BF"/>
        </w:rPr>
        <w:t>, Maidstone artist</w:t>
      </w:r>
    </w:p>
    <w:p w14:paraId="1BB55AC5" w14:textId="32E8F615" w:rsidR="00446D7B" w:rsidRDefault="00732AEF" w:rsidP="00732AEF">
      <w:pPr>
        <w:pStyle w:val="Heading4"/>
      </w:pPr>
      <w:r>
        <w:t>Artstop</w:t>
      </w:r>
    </w:p>
    <w:p w14:paraId="176801F9" w14:textId="6340FD3B" w:rsidR="00446D7B" w:rsidRDefault="00732AEF" w:rsidP="00446D7B">
      <w:r w:rsidRPr="00732AEF">
        <w:t>Artstop spent the first half of the year preparing for Beacon – A group exhibition at Counihan Gallery.</w:t>
      </w:r>
    </w:p>
    <w:p w14:paraId="55E602E9" w14:textId="38277BE8" w:rsidR="00732AEF" w:rsidRDefault="000C5AC1" w:rsidP="00732AEF">
      <w:pPr>
        <w:pStyle w:val="Heading5"/>
      </w:pPr>
      <w:r>
        <w:t xml:space="preserve">Exhibition: </w:t>
      </w:r>
      <w:r w:rsidR="00732AEF">
        <w:t>Beacon</w:t>
      </w:r>
    </w:p>
    <w:p w14:paraId="312EF19D" w14:textId="77777777" w:rsidR="00732AEF" w:rsidRDefault="00732AEF" w:rsidP="00732AEF">
      <w:r>
        <w:t>Beacon presented 87 artworks by 15 artists in Artstop Studio. They used drawing, sculpture, photography, lighting, mixed media, audio-video, installation, and sculpture.</w:t>
      </w:r>
    </w:p>
    <w:p w14:paraId="70F7ECF9" w14:textId="77777777" w:rsidR="00732AEF" w:rsidRDefault="00732AEF" w:rsidP="00732AEF">
      <w:r>
        <w:t>The exhibition explored disability, safety and connection through light, colour, people and place. The artists created works about what guides them, what shines brightly in their lives. They asked us to think about our own beacons.</w:t>
      </w:r>
    </w:p>
    <w:p w14:paraId="44B0AB64" w14:textId="724AFD99" w:rsidR="00732AEF" w:rsidRDefault="00732AEF" w:rsidP="00732AEF">
      <w:r>
        <w:t>Beacon asks ‘What does it mean to live as Deaf and Disabled people? And how do our personal experiences affect the ways we think about and navigate the world?’</w:t>
      </w:r>
    </w:p>
    <w:p w14:paraId="23E794CD" w14:textId="748AB7B2" w:rsidR="00732AEF" w:rsidRDefault="00732AEF" w:rsidP="00732AEF">
      <w:pPr>
        <w:jc w:val="center"/>
        <w:rPr>
          <w:iCs/>
          <w:color w:val="404040" w:themeColor="text1" w:themeTint="BF"/>
        </w:rPr>
      </w:pPr>
      <w:r w:rsidRPr="00732AEF">
        <w:rPr>
          <w:iCs/>
          <w:color w:val="404040" w:themeColor="text1" w:themeTint="BF"/>
        </w:rPr>
        <w:t>“It is really exciting when you see other people’s projects, you get inspired to push your own work.” – Artstop artist</w:t>
      </w:r>
    </w:p>
    <w:p w14:paraId="6FE29B8E" w14:textId="0086133C" w:rsidR="00446D7B" w:rsidRPr="00446D7B" w:rsidRDefault="00732AEF" w:rsidP="009D0608">
      <w:pPr>
        <w:pStyle w:val="Heading4"/>
      </w:pPr>
      <w:r>
        <w:t>Nimbus</w:t>
      </w:r>
    </w:p>
    <w:p w14:paraId="1A312340" w14:textId="36F66485" w:rsidR="00446D7B" w:rsidRDefault="000C5AC1" w:rsidP="00446D7B">
      <w:r w:rsidRPr="000C5AC1">
        <w:t>Nimbus studio participation increased in 2025. We supported four studio artists to join the mentorship program. Nimbus artists showed works in the Darebin A1 exhibition at Bundoora Homestead. Studio artist Jo Kiriazis held her first solo exhibition at Fitzroy Library.</w:t>
      </w:r>
    </w:p>
    <w:p w14:paraId="7DFCC752" w14:textId="75E17519" w:rsidR="000C5AC1" w:rsidRDefault="000C5AC1" w:rsidP="000C5AC1">
      <w:pPr>
        <w:pStyle w:val="Heading5"/>
      </w:pPr>
      <w:r>
        <w:lastRenderedPageBreak/>
        <w:t>Exhibition: Muscle Cars</w:t>
      </w:r>
    </w:p>
    <w:p w14:paraId="24716CC9" w14:textId="6CAC6253" w:rsidR="000C5AC1" w:rsidRDefault="000C5AC1" w:rsidP="000C5AC1">
      <w:r>
        <w:t xml:space="preserve">Jo Kiriazis exhibited a vibrant series of new paintings for Muscle Cars. The solo exhibition showcased Jo’s love for all things muscle cars. The paintings are a representation of the Australian cultural and sub-cultural landscape. </w:t>
      </w:r>
    </w:p>
    <w:p w14:paraId="2E6727F9" w14:textId="77777777" w:rsidR="000C5AC1" w:rsidRDefault="000C5AC1" w:rsidP="000C5AC1">
      <w:r>
        <w:t>In Jo’s words, “I got my first my car when I was a teenager. It was a Muscle Car – a midnight blue Ford Cortina TD with a sunroof and yellow flames painted on the wheel arches and bonnet.</w:t>
      </w:r>
    </w:p>
    <w:p w14:paraId="467543D6" w14:textId="77777777" w:rsidR="000C5AC1" w:rsidRDefault="000C5AC1" w:rsidP="000C5AC1">
      <w:r>
        <w:t>I loved this car and everything associated with it. My father sold the car as punishment for speeding. I have never had the opportunity to return to the dizzying heights of a true Muscle Car.</w:t>
      </w:r>
    </w:p>
    <w:p w14:paraId="596A8FDD" w14:textId="1BB8546B" w:rsidR="000C5AC1" w:rsidRDefault="000C5AC1" w:rsidP="000C5AC1">
      <w:r>
        <w:t>These paintings reflect the future that I never had. A world of fast cars in bright colours and possible futures they could bring.”</w:t>
      </w:r>
    </w:p>
    <w:p w14:paraId="6E1E68A6" w14:textId="1FEE58F0" w:rsidR="000C5AC1" w:rsidRDefault="000C5AC1" w:rsidP="000C5AC1">
      <w:pPr>
        <w:pStyle w:val="Heading5"/>
      </w:pPr>
      <w:r>
        <w:t>Workshop: Nebula</w:t>
      </w:r>
    </w:p>
    <w:p w14:paraId="3BD7D517" w14:textId="323F93F3" w:rsidR="000C5AC1" w:rsidRDefault="000C5AC1" w:rsidP="000C5AC1">
      <w:r w:rsidRPr="000C5AC1">
        <w:t>We partnered with the City of Darebin to present workshops in Nebula. Nimbus Studio alumni Aleshanee Faery facilitated ‘Postcard Printing Without a Press.’ A free printmaking workshop. Participants made postcard-sized prints using recycled and found materials.</w:t>
      </w:r>
    </w:p>
    <w:p w14:paraId="0A9105B9" w14:textId="4B42EECD" w:rsidR="00446D7B" w:rsidRDefault="000C5AC1" w:rsidP="009D0608">
      <w:pPr>
        <w:pStyle w:val="Heading4"/>
      </w:pPr>
      <w:r>
        <w:t>SRS Studios</w:t>
      </w:r>
    </w:p>
    <w:p w14:paraId="015D1260" w14:textId="51D13501" w:rsidR="000C5AC1" w:rsidRDefault="000C5AC1" w:rsidP="00446D7B">
      <w:r w:rsidRPr="000C5AC1">
        <w:t>SRS Studios continue to thrive. We welcomed a new supported residence into our program. Studio participation increased across the board, with more residents dropping in to connect and create.</w:t>
      </w:r>
    </w:p>
    <w:p w14:paraId="0FCC19EA" w14:textId="1603FF7E" w:rsidR="00446D7B" w:rsidRDefault="000C5AC1" w:rsidP="000C5AC1">
      <w:r w:rsidRPr="000C5AC1">
        <w:t>The Golden Scissor Puppets (GSP) facilitated 32 workshops across all houses as guest artists. The studio artists chose the mediums they wanted to develop their skill in. These workshops lead to Outside In/Inside Out at School House Studio.</w:t>
      </w:r>
    </w:p>
    <w:p w14:paraId="43A77E7C" w14:textId="53473FB2" w:rsidR="000C5AC1" w:rsidRDefault="000C5AC1" w:rsidP="000C5AC1">
      <w:pPr>
        <w:jc w:val="center"/>
        <w:rPr>
          <w:iCs/>
          <w:color w:val="404040" w:themeColor="text1" w:themeTint="BF"/>
        </w:rPr>
      </w:pPr>
      <w:r w:rsidRPr="000C5AC1">
        <w:rPr>
          <w:iCs/>
          <w:color w:val="404040" w:themeColor="text1" w:themeTint="BF"/>
        </w:rPr>
        <w:t xml:space="preserve">“Don’t underestimate my artistic power.” </w:t>
      </w:r>
      <w:r w:rsidR="003F24AE">
        <w:rPr>
          <w:iCs/>
          <w:color w:val="404040" w:themeColor="text1" w:themeTint="BF"/>
        </w:rPr>
        <w:t xml:space="preserve">– </w:t>
      </w:r>
      <w:r w:rsidRPr="000C5AC1">
        <w:rPr>
          <w:iCs/>
          <w:color w:val="404040" w:themeColor="text1" w:themeTint="BF"/>
        </w:rPr>
        <w:t>Stefano Conti, SRS Studios</w:t>
      </w:r>
    </w:p>
    <w:p w14:paraId="5B708CDA" w14:textId="3874766A" w:rsidR="000C5AC1" w:rsidRPr="000C5AC1" w:rsidRDefault="000C5AC1" w:rsidP="000C5AC1">
      <w:pPr>
        <w:jc w:val="center"/>
        <w:rPr>
          <w:iCs/>
          <w:color w:val="404040" w:themeColor="text1" w:themeTint="BF"/>
        </w:rPr>
      </w:pPr>
      <w:r w:rsidRPr="000C5AC1">
        <w:rPr>
          <w:iCs/>
          <w:color w:val="404040" w:themeColor="text1" w:themeTint="BF"/>
        </w:rPr>
        <w:t xml:space="preserve">"Art makes your soul come alive." </w:t>
      </w:r>
      <w:r w:rsidR="003F24AE">
        <w:rPr>
          <w:iCs/>
          <w:color w:val="404040" w:themeColor="text1" w:themeTint="BF"/>
        </w:rPr>
        <w:t xml:space="preserve">– </w:t>
      </w:r>
      <w:r w:rsidRPr="000C5AC1">
        <w:rPr>
          <w:iCs/>
          <w:color w:val="404040" w:themeColor="text1" w:themeTint="BF"/>
        </w:rPr>
        <w:t>Jules, SRS Studios</w:t>
      </w:r>
    </w:p>
    <w:p w14:paraId="3ADC54AB" w14:textId="2118CB76" w:rsidR="000C5AC1" w:rsidRDefault="000C5AC1" w:rsidP="000C5AC1">
      <w:pPr>
        <w:jc w:val="center"/>
        <w:rPr>
          <w:iCs/>
          <w:color w:val="404040" w:themeColor="text1" w:themeTint="BF"/>
        </w:rPr>
      </w:pPr>
      <w:r w:rsidRPr="000C5AC1">
        <w:rPr>
          <w:iCs/>
          <w:color w:val="404040" w:themeColor="text1" w:themeTint="BF"/>
        </w:rPr>
        <w:t xml:space="preserve">“I think it’s relaxing and productive. It’s good for your self-esteem.” </w:t>
      </w:r>
      <w:r w:rsidR="003F24AE">
        <w:rPr>
          <w:iCs/>
          <w:color w:val="404040" w:themeColor="text1" w:themeTint="BF"/>
        </w:rPr>
        <w:t xml:space="preserve">– </w:t>
      </w:r>
      <w:r w:rsidRPr="000C5AC1">
        <w:rPr>
          <w:iCs/>
          <w:color w:val="404040" w:themeColor="text1" w:themeTint="BF"/>
        </w:rPr>
        <w:t>Brad, SRS Studios</w:t>
      </w:r>
    </w:p>
    <w:p w14:paraId="588AE001" w14:textId="411CD54D" w:rsidR="00446D7B" w:rsidRDefault="000C5AC1" w:rsidP="009D0608">
      <w:pPr>
        <w:pStyle w:val="Heading5"/>
      </w:pPr>
      <w:r>
        <w:t>Exhibition: Outside In/Outside Out</w:t>
      </w:r>
    </w:p>
    <w:p w14:paraId="499C541D" w14:textId="68EF0B83" w:rsidR="000C5AC1" w:rsidRDefault="000C5AC1" w:rsidP="00446D7B">
      <w:r w:rsidRPr="000C5AC1">
        <w:t xml:space="preserve">An interactive installation of puppets, fabrics, sculptures, projects and soundscapes. 80 puppets were created and presented. We filmed the artists puppeteering to create projections. We created a soundscape using recordings of the artists talking about and </w:t>
      </w:r>
      <w:r w:rsidRPr="000C5AC1">
        <w:lastRenderedPageBreak/>
        <w:t>describing their puppets. Text and artwork on the walls of School House captured the soundscape in visuals.</w:t>
      </w:r>
    </w:p>
    <w:p w14:paraId="06DC8411" w14:textId="4E642CD6" w:rsidR="000C5AC1" w:rsidRDefault="000C5AC1" w:rsidP="000C5AC1">
      <w:pPr>
        <w:jc w:val="center"/>
        <w:rPr>
          <w:iCs/>
          <w:color w:val="404040" w:themeColor="text1" w:themeTint="BF"/>
        </w:rPr>
      </w:pPr>
      <w:r w:rsidRPr="000C5AC1">
        <w:rPr>
          <w:iCs/>
          <w:color w:val="404040" w:themeColor="text1" w:themeTint="BF"/>
        </w:rPr>
        <w:t>“It’s very warm, like a hug. It makes you feel warm</w:t>
      </w:r>
      <w:r w:rsidR="003F24AE">
        <w:rPr>
          <w:iCs/>
          <w:color w:val="404040" w:themeColor="text1" w:themeTint="BF"/>
        </w:rPr>
        <w:t>.</w:t>
      </w:r>
      <w:r w:rsidRPr="000C5AC1">
        <w:rPr>
          <w:iCs/>
          <w:color w:val="404040" w:themeColor="text1" w:themeTint="BF"/>
        </w:rPr>
        <w:t>” – audience</w:t>
      </w:r>
      <w:r>
        <w:rPr>
          <w:iCs/>
          <w:color w:val="404040" w:themeColor="text1" w:themeTint="BF"/>
        </w:rPr>
        <w:t xml:space="preserve"> member</w:t>
      </w:r>
    </w:p>
    <w:p w14:paraId="7435F0CA" w14:textId="338CB2DD" w:rsidR="000C5AC1" w:rsidRDefault="000C5AC1" w:rsidP="000C5AC1">
      <w:pPr>
        <w:pStyle w:val="Heading4"/>
      </w:pPr>
      <w:r>
        <w:t>Get Out!</w:t>
      </w:r>
    </w:p>
    <w:p w14:paraId="026D0AB5" w14:textId="5D5E925B" w:rsidR="000C5AC1" w:rsidRDefault="000C5AC1" w:rsidP="000C5AC1">
      <w:r w:rsidRPr="000C5AC1">
        <w:t>Get Out! studio took part in the Kingston Arts 24-hour Arts Blitz and exhibition. The artists had 24 hours to respond to the theme “</w:t>
      </w:r>
      <w:r w:rsidR="00AF5E6F" w:rsidRPr="000C5AC1">
        <w:t>Self-Love</w:t>
      </w:r>
      <w:r w:rsidRPr="000C5AC1">
        <w:t>”. Works were made in the studio and delivered to Kingston Arts to be exhibited. Get Out! took part in TOFF’s Local Spotlight screening.</w:t>
      </w:r>
    </w:p>
    <w:p w14:paraId="61BC356E" w14:textId="3FB84CE9" w:rsidR="000C5AC1" w:rsidRDefault="000C5AC1" w:rsidP="000C5AC1">
      <w:pPr>
        <w:jc w:val="center"/>
        <w:rPr>
          <w:iCs/>
          <w:color w:val="404040" w:themeColor="text1" w:themeTint="BF"/>
        </w:rPr>
      </w:pPr>
      <w:r w:rsidRPr="000C5AC1">
        <w:rPr>
          <w:iCs/>
          <w:color w:val="404040" w:themeColor="text1" w:themeTint="BF"/>
        </w:rPr>
        <w:t>“The best thing about today was everything</w:t>
      </w:r>
      <w:r w:rsidR="00AF5E6F">
        <w:rPr>
          <w:iCs/>
          <w:color w:val="404040" w:themeColor="text1" w:themeTint="BF"/>
        </w:rPr>
        <w:t>.</w:t>
      </w:r>
      <w:r w:rsidRPr="000C5AC1">
        <w:rPr>
          <w:iCs/>
          <w:color w:val="404040" w:themeColor="text1" w:themeTint="BF"/>
        </w:rPr>
        <w:t xml:space="preserve">” </w:t>
      </w:r>
      <w:r w:rsidR="00AF5E6F">
        <w:rPr>
          <w:iCs/>
          <w:color w:val="404040" w:themeColor="text1" w:themeTint="BF"/>
        </w:rPr>
        <w:t xml:space="preserve">– </w:t>
      </w:r>
      <w:r w:rsidRPr="000C5AC1">
        <w:rPr>
          <w:iCs/>
          <w:color w:val="404040" w:themeColor="text1" w:themeTint="BF"/>
        </w:rPr>
        <w:t>Correne Ludica</w:t>
      </w:r>
    </w:p>
    <w:p w14:paraId="0C5AA796" w14:textId="0602B56A" w:rsidR="000C5AC1" w:rsidRDefault="000C5AC1" w:rsidP="000C5AC1">
      <w:pPr>
        <w:pStyle w:val="Heading5"/>
      </w:pPr>
      <w:r>
        <w:t xml:space="preserve">Exhibition: </w:t>
      </w:r>
      <w:r w:rsidRPr="000C5AC1">
        <w:t>Hidden Treasures</w:t>
      </w:r>
      <w:r>
        <w:t xml:space="preserve"> (</w:t>
      </w:r>
      <w:r w:rsidRPr="000C5AC1">
        <w:t>Works on Paper by Get Out! Studio</w:t>
      </w:r>
      <w:r>
        <w:t>)</w:t>
      </w:r>
    </w:p>
    <w:p w14:paraId="34433751" w14:textId="04984E0D" w:rsidR="000C5AC1" w:rsidRDefault="000C5AC1" w:rsidP="000C5AC1">
      <w:r w:rsidRPr="000C5AC1">
        <w:t>As part of the Pines Connecting the Community Time Capsule opening, the artists of Get Out! looked to their studio archives to find artworks that had been tucked away, forgotten and never shown before.</w:t>
      </w:r>
    </w:p>
    <w:p w14:paraId="7EE6A79B" w14:textId="3153FB8C" w:rsidR="000C5AC1" w:rsidRDefault="000C5AC1" w:rsidP="000C5AC1">
      <w:r w:rsidRPr="000C5AC1">
        <w:t>The exhibition of treasured gems featured drawings, prints, painting and other works on paper. Each one offered a glimpse into the creative process and the stories behind the scenes in the studio. Like the time capsule, these works were small discoveries from the past, brought into the present moment. Together, they told a quiet but powerful story about time, memory and the importance of reflection.</w:t>
      </w:r>
    </w:p>
    <w:p w14:paraId="02F550C2" w14:textId="6CBD8B66" w:rsidR="00446D7B" w:rsidRDefault="000C5AC1" w:rsidP="000C5AC1">
      <w:pPr>
        <w:pStyle w:val="Heading3"/>
      </w:pPr>
      <w:r>
        <w:t>Youth</w:t>
      </w:r>
    </w:p>
    <w:p w14:paraId="7D89D9F5" w14:textId="18F0A170" w:rsidR="000C5AC1" w:rsidRDefault="000C5AC1" w:rsidP="00446D7B">
      <w:r w:rsidRPr="000C5AC1">
        <w:t>We continue to work with young Deaf and Disabled people in and out of education. This year, Maker Space went to Brimbank and Dandenong, and we continued to run Capturing the City at SIGNAL.</w:t>
      </w:r>
    </w:p>
    <w:p w14:paraId="351CC1A5" w14:textId="17E8E2C1" w:rsidR="00446D7B" w:rsidRDefault="000C5AC1" w:rsidP="000C5AC1">
      <w:pPr>
        <w:pStyle w:val="Heading4"/>
      </w:pPr>
      <w:r>
        <w:t>Capturing the City</w:t>
      </w:r>
    </w:p>
    <w:p w14:paraId="7829C088" w14:textId="3A95F400" w:rsidR="00446D7B" w:rsidRDefault="000C5AC1" w:rsidP="000C5AC1">
      <w:r w:rsidRPr="000C5AC1">
        <w:t>Capturing the City is our school-based program for young people in TAFE and Special Schools. In 2025, the students created short stop-motion animations. We screened the animations in TOFFs 2025 screening program. Capturing the City gave students the chance to explore what it means to be an artist in a safe and supported environment. Schools reported to us that some students have decided to go on to study art after taking part in capturing the city.</w:t>
      </w:r>
    </w:p>
    <w:p w14:paraId="19448364" w14:textId="262605C7" w:rsidR="000C5AC1" w:rsidRPr="00446D7B" w:rsidRDefault="000C5AC1" w:rsidP="000C5AC1">
      <w:pPr>
        <w:pStyle w:val="Heading4"/>
      </w:pPr>
      <w:r>
        <w:lastRenderedPageBreak/>
        <w:t>Maker Space</w:t>
      </w:r>
    </w:p>
    <w:p w14:paraId="1F455DC0" w14:textId="77777777" w:rsidR="000C5AC1" w:rsidRDefault="000C5AC1" w:rsidP="000C5AC1">
      <w:r>
        <w:t xml:space="preserve">Maker Space are creative workshops for Young Deaf and Disabled. The program aims to give young people a safe space for making art, socialising and creating community with their peers. </w:t>
      </w:r>
    </w:p>
    <w:p w14:paraId="63F56DC8" w14:textId="432A539C" w:rsidR="000C5AC1" w:rsidRDefault="000C5AC1" w:rsidP="000C5AC1">
      <w:r>
        <w:t>In 2025, we ran the program in St Albans and Dandenong. We ran 6 workshops in St Albans. 2 of the workshops were facilitated by Way Out West Studio artists. We ran 9 workshops in Dandenong with an open studio day at the end.</w:t>
      </w:r>
    </w:p>
    <w:p w14:paraId="184CCC04" w14:textId="77093F17" w:rsidR="00446D7B" w:rsidRDefault="000C5AC1" w:rsidP="000C5AC1">
      <w:pPr>
        <w:pStyle w:val="Heading5"/>
      </w:pPr>
      <w:r>
        <w:t>Open Studio: Dandenong</w:t>
      </w:r>
    </w:p>
    <w:p w14:paraId="1ADCCB7F" w14:textId="284D4B24" w:rsidR="000C5AC1" w:rsidRDefault="000C5AC1" w:rsidP="00446D7B">
      <w:r w:rsidRPr="000C5AC1">
        <w:t>We ran an open studio to showcase the work made in Maker Space. We encouraged the artists to bring artwork that had made outside of the program. This included: photography, painting, and woodworking. They set up a stall for their podcast, and a band played live. The open Studio became and end of year celebration for everybody involved alongside their friends and family.</w:t>
      </w:r>
    </w:p>
    <w:p w14:paraId="66CD1ABF" w14:textId="0DBD6FFD" w:rsidR="00446D7B" w:rsidRDefault="00C33A79" w:rsidP="00C33A79">
      <w:pPr>
        <w:pStyle w:val="Heading3"/>
      </w:pPr>
      <w:r>
        <w:t>Mentoring</w:t>
      </w:r>
    </w:p>
    <w:p w14:paraId="41FB8416" w14:textId="77777777" w:rsidR="000225A7" w:rsidRDefault="00C33A79" w:rsidP="00C33A79">
      <w:r>
        <w:t>Our mentorship program expanded in 2025. We now have over 60 Deaf and Disabled artists in our program.</w:t>
      </w:r>
    </w:p>
    <w:p w14:paraId="565B8012" w14:textId="097AAAEA" w:rsidR="00C33A79" w:rsidRDefault="00C33A79" w:rsidP="00C33A79">
      <w:r>
        <w:t>We have expanded our partnership in the mentorship program. This has provided the mentees with more opportunities to make and present their work publicly. We are now working with Dax Centre, Seventh Gallery and West Space. We are continuing our partnerships with Collingwood Yards and Yarra Sculpture Gallery.</w:t>
      </w:r>
    </w:p>
    <w:p w14:paraId="0F4D09C2" w14:textId="77777777" w:rsidR="00C33A79" w:rsidRDefault="00C33A79" w:rsidP="00C33A79">
      <w:r>
        <w:t>We also hosted our first mentorship meetup. This gave the mentees a chance to meet up and discuss their practice. The meetup helped to create a sense of community for everyone involved in the program.</w:t>
      </w:r>
    </w:p>
    <w:p w14:paraId="16D9137E" w14:textId="197C1B70" w:rsidR="00C33A79" w:rsidRDefault="00C33A79" w:rsidP="00C33A79">
      <w:r>
        <w:t>We supported a mentee to travel overseas to achieve their goals of photographing Japan. Our team are proud to support the individual goals of our mentees.</w:t>
      </w:r>
    </w:p>
    <w:p w14:paraId="32EEE32E" w14:textId="77777777" w:rsidR="00C33A79" w:rsidRDefault="00C33A79" w:rsidP="00C33A79">
      <w:r>
        <w:t xml:space="preserve">In 2025, we presented two exhibitions for mentees to exhibit their work. </w:t>
      </w:r>
    </w:p>
    <w:p w14:paraId="118E3C26" w14:textId="523FC60C" w:rsidR="00C33A79" w:rsidRDefault="00266A58" w:rsidP="00266A58">
      <w:pPr>
        <w:pStyle w:val="Heading5"/>
      </w:pPr>
      <w:r>
        <w:t xml:space="preserve">Exhibition: </w:t>
      </w:r>
      <w:r w:rsidR="00C33A79">
        <w:t>Yarra Sculpture Gallery Summer Residency</w:t>
      </w:r>
    </w:p>
    <w:p w14:paraId="18A62884" w14:textId="77777777" w:rsidR="00C33A79" w:rsidRDefault="00C33A79" w:rsidP="00C33A79">
      <w:r>
        <w:t xml:space="preserve">In January, we supported seven artists’ residencies in the studio space for 6 weeks. This was a fantastic opportunity for the artists to test out new ideas and develop new works. The culmination of the residency was a group exhibition at the end of February. This program is in partnership with the Yarra Sculpture Gallery and the City of Yarra. It has been running for six years. </w:t>
      </w:r>
    </w:p>
    <w:p w14:paraId="396D17F6" w14:textId="53F5B230" w:rsidR="00C33A79" w:rsidRDefault="00266A58" w:rsidP="00266A58">
      <w:pPr>
        <w:pStyle w:val="Heading5"/>
      </w:pPr>
      <w:r>
        <w:lastRenderedPageBreak/>
        <w:t xml:space="preserve">Exhibition: </w:t>
      </w:r>
      <w:r w:rsidR="00C33A79">
        <w:t>Luminosity</w:t>
      </w:r>
    </w:p>
    <w:p w14:paraId="293D0133" w14:textId="0C3C6C0A" w:rsidR="00C33A79" w:rsidRDefault="00C33A79" w:rsidP="00C33A79">
      <w:r>
        <w:t xml:space="preserve">We started a new partnership with West Space in Collingwood yards. For three months, we supported five artists who use our Collingwood Yards studio to exhibit their work in the West Space windows. Two mentors exhibited publicly for the first time. </w:t>
      </w:r>
      <w:r w:rsidR="00AF5E6F">
        <w:t>All</w:t>
      </w:r>
      <w:r>
        <w:t xml:space="preserve"> the mentees involved said it helped to connect them to a broader creative community. </w:t>
      </w:r>
    </w:p>
    <w:p w14:paraId="2463CA49" w14:textId="0E0955C6" w:rsidR="00C33A79" w:rsidRDefault="00266A58" w:rsidP="00266A58">
      <w:pPr>
        <w:pStyle w:val="Heading5"/>
      </w:pPr>
      <w:r>
        <w:t xml:space="preserve">Solo outcome: </w:t>
      </w:r>
      <w:r w:rsidR="00C33A79">
        <w:t>Travelling for Art</w:t>
      </w:r>
    </w:p>
    <w:p w14:paraId="2BE9E244" w14:textId="2354144F" w:rsidR="00C33A79" w:rsidRDefault="00C33A79" w:rsidP="00C33A79">
      <w:r>
        <w:t>In 2025 a mentee James Hoadley travelled to Japan with his mentor to photograph and create art in Japan. This was his first time overseas, and the trip was filled with many challenges he overcame. James said that the trip helped him to increase his confidence as an artist and as a person. As well as the artwork he creates. He is looking into exhibiting the photographs he took next.</w:t>
      </w:r>
    </w:p>
    <w:p w14:paraId="27007EDC" w14:textId="77777777" w:rsidR="00256AB9" w:rsidRDefault="00256AB9">
      <w:pPr>
        <w:spacing w:before="0" w:after="160" w:line="259" w:lineRule="auto"/>
      </w:pPr>
      <w:r>
        <w:br w:type="page"/>
      </w:r>
    </w:p>
    <w:p w14:paraId="6CEE3A71" w14:textId="27C202A5" w:rsidR="00446D7B" w:rsidRDefault="00446D7B" w:rsidP="009D0608">
      <w:pPr>
        <w:pStyle w:val="Heading1"/>
      </w:pPr>
      <w:bookmarkStart w:id="5" w:name="_Toc228028941"/>
      <w:r w:rsidRPr="00446D7B">
        <w:lastRenderedPageBreak/>
        <w:t>TOFF</w:t>
      </w:r>
      <w:r>
        <w:t xml:space="preserve"> Turned 2</w:t>
      </w:r>
      <w:r w:rsidR="0010061A">
        <w:t>1</w:t>
      </w:r>
      <w:r>
        <w:t>!</w:t>
      </w:r>
      <w:bookmarkEnd w:id="5"/>
    </w:p>
    <w:p w14:paraId="11930349" w14:textId="77777777" w:rsidR="003F24AE" w:rsidRPr="003F24AE" w:rsidRDefault="00446D7B" w:rsidP="00446D7B">
      <w:r w:rsidRPr="003F24AE">
        <w:t>The Other Film Festival (TOFF) is a ground-breaking disability-led screen program. We place Deaf and Disabled people at the centre of the Australian screen industry.</w:t>
      </w:r>
    </w:p>
    <w:p w14:paraId="0A44F977" w14:textId="06C24445" w:rsidR="00446D7B" w:rsidRDefault="00446D7B" w:rsidP="00446D7B">
      <w:r w:rsidRPr="003F24AE">
        <w:t>TOFF is Australia’s first international disability film festival. We are a pioneer in global standard of universal access for audiences.</w:t>
      </w:r>
    </w:p>
    <w:p w14:paraId="66BCBFDF" w14:textId="1F296C87" w:rsidR="00446D7B" w:rsidRDefault="0010061A" w:rsidP="0010061A">
      <w:r>
        <w:t>In 2025 we celebrated the 21st birthday of The Other Film Festival.</w:t>
      </w:r>
      <w:r w:rsidR="001F4561">
        <w:t xml:space="preserve"> </w:t>
      </w:r>
      <w:r>
        <w:t>TOFF worked with Deaf and Disabled artists to screen 60 films. We significantly increased the number of films screened through our partnerships.</w:t>
      </w:r>
    </w:p>
    <w:p w14:paraId="17B57228" w14:textId="0F339B4A" w:rsidR="00446D7B" w:rsidRDefault="0010061A" w:rsidP="009D0608">
      <w:pPr>
        <w:pStyle w:val="Heading2"/>
      </w:pPr>
      <w:r>
        <w:t>2026 Screening Program</w:t>
      </w:r>
    </w:p>
    <w:p w14:paraId="30D3A017" w14:textId="77777777" w:rsidR="0010061A" w:rsidRDefault="0010061A" w:rsidP="0010061A">
      <w:r>
        <w:t xml:space="preserve">The 2025 festival featured screening programs and events from 16 November to 3 December. We highlighted stories from our local communities. </w:t>
      </w:r>
    </w:p>
    <w:p w14:paraId="41B153EB" w14:textId="77777777" w:rsidR="0010061A" w:rsidRDefault="0010061A" w:rsidP="0010061A">
      <w:r>
        <w:t>Key events of TOFF 2025 included: screening program on ACMI Cinema 3, Industry Day with Melbourne Queer Film Festival (MQFF), TOFF x MQFF screenings, The Gathering at TOFF, TOFF Schools, Local Spotlight screenings, TOFF on the Big Screen at Fed Square. These events were accessible and free or low cost.</w:t>
      </w:r>
    </w:p>
    <w:p w14:paraId="4AED35BD" w14:textId="77777777" w:rsidR="0010061A" w:rsidRDefault="0010061A" w:rsidP="0010061A">
      <w:r>
        <w:t>TOFF’s 2025 program delivered 25 captioned films. 10 films were audio described. Films were rented 252 times from ACMI Cinema 3 online streaming platform. 3 events were Auslan interpreted. We provided a quiet space to 4 events. TOFF offered 4 online or hybrid format events.</w:t>
      </w:r>
    </w:p>
    <w:p w14:paraId="1F3E5359" w14:textId="68BA98CE" w:rsidR="00446D7B" w:rsidRDefault="0010061A" w:rsidP="0010061A">
      <w:r>
        <w:t xml:space="preserve">Thank you to all our Major partners City of Melbourne, Screen Australia and VicScreen. Thank you to partners and collaborators ACMI, Vision Australia Radio, </w:t>
      </w:r>
      <w:r w:rsidR="00AF5E6F">
        <w:t>MAP Co</w:t>
      </w:r>
      <w:r>
        <w:t>, Melbourne Queer Film Festival and Koorie Heritage Trust.</w:t>
      </w:r>
    </w:p>
    <w:p w14:paraId="43646C82" w14:textId="62903DBB" w:rsidR="00446D7B" w:rsidRDefault="0010061A" w:rsidP="0010061A">
      <w:pPr>
        <w:pStyle w:val="Heading3"/>
      </w:pPr>
      <w:r>
        <w:t>The Gathering at TOFF</w:t>
      </w:r>
    </w:p>
    <w:p w14:paraId="37962CF6" w14:textId="77777777" w:rsidR="0010061A" w:rsidRDefault="0010061A" w:rsidP="0010061A">
      <w:r>
        <w:t xml:space="preserve">We were fortunate to present the Gathering for TOFF with Koorie Heritage Trust. This hybrid event was a celebration of the work AAV is currently doing with the First Nations Yarning Circle. Renay Barker-Mullholland (Biripi-Dunghutti woman) was a guest speaker. </w:t>
      </w:r>
    </w:p>
    <w:p w14:paraId="62E47E9E" w14:textId="35F515E8" w:rsidR="0010061A" w:rsidRDefault="0010061A" w:rsidP="0010061A">
      <w:r>
        <w:t xml:space="preserve">Here, we premiered the short trailer that was made at the time during the first iteration of the Yarning Circle at Alter State 2024. Filmed by </w:t>
      </w:r>
      <w:r w:rsidRPr="0010061A">
        <w:t xml:space="preserve">Wiradjuri filmmaker Merryn Trescot </w:t>
      </w:r>
      <w:r>
        <w:t>(</w:t>
      </w:r>
      <w:r w:rsidRPr="0010061A">
        <w:t>Sapphic Flicks</w:t>
      </w:r>
      <w:r>
        <w:t>).</w:t>
      </w:r>
    </w:p>
    <w:p w14:paraId="34FAC721" w14:textId="05A4F900" w:rsidR="0010061A" w:rsidRDefault="0010061A" w:rsidP="0010061A">
      <w:r>
        <w:lastRenderedPageBreak/>
        <w:t xml:space="preserve">We invited First Nations artists who have been part of the journey of the First Nations Yarning Circle. This included current members of the Circle and key partner organisations such as YIRRAMBOI. </w:t>
      </w:r>
    </w:p>
    <w:p w14:paraId="14FF8042" w14:textId="59C89A0F" w:rsidR="0010061A" w:rsidRDefault="0010061A" w:rsidP="0010061A">
      <w:pPr>
        <w:pStyle w:val="Heading3"/>
      </w:pPr>
      <w:r>
        <w:t>St Kilda Film Festival</w:t>
      </w:r>
    </w:p>
    <w:p w14:paraId="5B20B629" w14:textId="77777777" w:rsidR="0010061A" w:rsidRDefault="0010061A" w:rsidP="0010061A">
      <w:r>
        <w:t xml:space="preserve">We once again partnered with St Kilda Film festival to present a screening program and panel event at The Big Picture Filmmaker Development Day. We invited filmmakers from underrepresented communities to share their invaluable experiences. </w:t>
      </w:r>
    </w:p>
    <w:p w14:paraId="10F91D09" w14:textId="77777777" w:rsidR="0010061A" w:rsidRDefault="0010061A" w:rsidP="0010061A">
      <w:r>
        <w:t>The program included:</w:t>
      </w:r>
    </w:p>
    <w:p w14:paraId="04DCEF88" w14:textId="77777777" w:rsidR="0010061A" w:rsidRDefault="0010061A" w:rsidP="00C232A4">
      <w:pPr>
        <w:pStyle w:val="ListParagraph"/>
        <w:numPr>
          <w:ilvl w:val="0"/>
          <w:numId w:val="27"/>
        </w:numPr>
      </w:pPr>
      <w:r>
        <w:t>Place for Every Story in Short Films panel hosted by Joshua Pether and screening of “Black Time, White Time” with Edoardo Crismani (Director), Tammy Coleman-Zweck (Producer, Writer) and Joanna Agius (Actor, Auslan Consultant).</w:t>
      </w:r>
    </w:p>
    <w:p w14:paraId="32B187D4" w14:textId="77777777" w:rsidR="0010061A" w:rsidRDefault="0010061A" w:rsidP="008D0F69">
      <w:pPr>
        <w:pStyle w:val="ListParagraph"/>
        <w:numPr>
          <w:ilvl w:val="0"/>
          <w:numId w:val="27"/>
        </w:numPr>
      </w:pPr>
      <w:r>
        <w:t>“Into the Limelight: 20 Jokes (for mental health)” screening followed by a Q&amp;A Hosted by Michael Crane.</w:t>
      </w:r>
    </w:p>
    <w:p w14:paraId="2E6B25CD" w14:textId="269163E1" w:rsidR="0010061A" w:rsidRDefault="0010061A" w:rsidP="008D0F69">
      <w:pPr>
        <w:pStyle w:val="ListParagraph"/>
        <w:numPr>
          <w:ilvl w:val="0"/>
          <w:numId w:val="27"/>
        </w:numPr>
      </w:pPr>
      <w:r>
        <w:t>“Home is Where the Art Is” screening - A film that takes you inside AAV’s SRS Studios. Where artists have been creating works for over 30 years.</w:t>
      </w:r>
    </w:p>
    <w:p w14:paraId="67596476" w14:textId="5EF96444" w:rsidR="0010061A" w:rsidRDefault="0010061A" w:rsidP="0010061A">
      <w:pPr>
        <w:pStyle w:val="Heading3"/>
      </w:pPr>
      <w:r>
        <w:t>Screen Stories Now</w:t>
      </w:r>
    </w:p>
    <w:p w14:paraId="763B41E2" w14:textId="77777777" w:rsidR="0010061A" w:rsidRDefault="0010061A" w:rsidP="0010061A">
      <w:r>
        <w:t>Screen Stories Now was a free and inclusive screen storytelling symposium. An afternoon of film panels and a workshop. Delivered as a hybrid event at ACMI on Friday 18 July. Presented in partnership with The Bachelor of Screen Production, Swinburne University.</w:t>
      </w:r>
    </w:p>
    <w:p w14:paraId="45972D03" w14:textId="5A5B816F" w:rsidR="00256AB9" w:rsidRPr="00256AB9" w:rsidRDefault="0010061A" w:rsidP="0010061A">
      <w:r>
        <w:t>We hosted 2 panels and 1 workshop for the public. Featuring 7 guest speakers and facilitators. The event gave practical tools for navigating the screen industry.</w:t>
      </w:r>
      <w:r w:rsidR="00256AB9">
        <w:br w:type="page"/>
      </w:r>
    </w:p>
    <w:p w14:paraId="1CF11FC0" w14:textId="06372568" w:rsidR="0068173B" w:rsidRDefault="0068173B" w:rsidP="009D0608">
      <w:pPr>
        <w:pStyle w:val="Heading1"/>
      </w:pPr>
      <w:bookmarkStart w:id="6" w:name="_Toc228028942"/>
      <w:r>
        <w:lastRenderedPageBreak/>
        <w:t>Sector Development</w:t>
      </w:r>
      <w:bookmarkEnd w:id="6"/>
    </w:p>
    <w:p w14:paraId="647A84A7" w14:textId="77777777" w:rsidR="009D0608" w:rsidRDefault="009D0608" w:rsidP="009D0608">
      <w:pPr>
        <w:pStyle w:val="Heading2"/>
      </w:pPr>
      <w:r>
        <w:t>Training and Consultations</w:t>
      </w:r>
    </w:p>
    <w:p w14:paraId="19DA0E04" w14:textId="77777777" w:rsidR="0010061A" w:rsidRDefault="0010061A" w:rsidP="0010061A">
      <w:r>
        <w:t>In 2025, we continued to support change in organisations and arts service providers. We delivered training and consultation to a wide range of arts organisations. Our team gave advice on access and inclusion, promoting equity in Victorian cultural life.</w:t>
      </w:r>
    </w:p>
    <w:p w14:paraId="5FD1B588" w14:textId="77777777" w:rsidR="000225A7" w:rsidRDefault="0010061A" w:rsidP="0010061A">
      <w:r>
        <w:t>In 2025 we provided training to over 430 people in 23 organisations. We ran two public workplace training sessions for 31 arts workers and service providers: Creating Welcoming Environments and Accessible Arts Practice.</w:t>
      </w:r>
    </w:p>
    <w:p w14:paraId="6B272CA1" w14:textId="505173BB" w:rsidR="009D0608" w:rsidRDefault="0010061A" w:rsidP="0010061A">
      <w:r>
        <w:t>We consulted with 23 organisations, including MAP Co, Frankston Arts Centre, Multicultural Arts Victoria (MAV), Arts House, Footscray Community Arts Centre, Polyglot Theatre, The Melbourne Queer Film Festival, ACMI and many others.</w:t>
      </w:r>
    </w:p>
    <w:p w14:paraId="58E80756" w14:textId="45E0E7BB" w:rsidR="009D0608" w:rsidRDefault="0010061A" w:rsidP="009D0608">
      <w:pPr>
        <w:pStyle w:val="Heading3"/>
      </w:pPr>
      <w:r>
        <w:t>Public Training</w:t>
      </w:r>
    </w:p>
    <w:p w14:paraId="75C0DC86" w14:textId="77777777" w:rsidR="0010061A" w:rsidRDefault="0010061A" w:rsidP="009D0608">
      <w:r w:rsidRPr="0010061A">
        <w:t xml:space="preserve">Last year we had a packed public training session with our package called Creating Welcoming Environments. The training gives practical knowledge for making venues and events more accessible and welcoming. </w:t>
      </w:r>
    </w:p>
    <w:p w14:paraId="4A8E877D" w14:textId="18E073A2" w:rsidR="0010061A" w:rsidRDefault="0010061A" w:rsidP="009D0608">
      <w:r w:rsidRPr="0010061A">
        <w:t xml:space="preserve">We had participants from large local government arts centres, including the Melbourne Theatre Company, Kensington Community High School, Castlemaine Art Museum, Warnambool City Council and South Melbourne Market among others. The range of participants led to lively discussions. We improved awareness and shared practical access skills across a wide range of organisations and areas in Victoria.  </w:t>
      </w:r>
    </w:p>
    <w:p w14:paraId="74DC7551" w14:textId="1E71FCBF" w:rsidR="0010061A" w:rsidRDefault="0010061A" w:rsidP="0010061A">
      <w:pPr>
        <w:pStyle w:val="Heading3"/>
      </w:pPr>
      <w:r>
        <w:t>Regional Development</w:t>
      </w:r>
    </w:p>
    <w:p w14:paraId="0D4D7234" w14:textId="77777777" w:rsidR="0010061A" w:rsidRDefault="0010061A" w:rsidP="0010061A">
      <w:r>
        <w:t>We received funding from the Federal Department of Social Services. With this, we delivered training and consultation to metro and regional arts organisations. We could now support small organisations who could not access our training before. We added new Deaf and Disabled trainers to our casual pool, providing employment and improving our capacity.</w:t>
      </w:r>
    </w:p>
    <w:p w14:paraId="08414091" w14:textId="77777777" w:rsidR="0010061A" w:rsidRDefault="0010061A" w:rsidP="0010061A">
      <w:r>
        <w:t>In 2025, we have delivered 12 training sessions to small regional and metro arts organisations. We delivered online training to 5 regional arts organisations as part of our funded free training program. The program will continue in 2026.</w:t>
      </w:r>
    </w:p>
    <w:p w14:paraId="671FBA03" w14:textId="00B1EE9E" w:rsidR="0010061A" w:rsidRDefault="0010061A" w:rsidP="0010061A">
      <w:pPr>
        <w:pStyle w:val="Heading4"/>
      </w:pPr>
      <w:r>
        <w:lastRenderedPageBreak/>
        <w:t>Consult</w:t>
      </w:r>
      <w:r w:rsidR="00BF691E">
        <w:t>ation: Case Study</w:t>
      </w:r>
    </w:p>
    <w:p w14:paraId="5755913F" w14:textId="77777777" w:rsidR="00BF691E" w:rsidRDefault="00BF691E" w:rsidP="00BF691E">
      <w:r>
        <w:t>Consultations in 2025 included a mystery visitor service to the National Gallery of Victoria (NGV). We employed 4 lived experience advocates to pay an unannounced visit to a venue or event. They then report back on many aspects of their experience according to their specific access needs. This is then compiled into a full report with recommendations.</w:t>
      </w:r>
    </w:p>
    <w:p w14:paraId="7B48195F" w14:textId="5734889E" w:rsidR="0010061A" w:rsidRDefault="00BF691E" w:rsidP="00BF691E">
      <w:r>
        <w:t xml:space="preserve">We were employed by the Australian Museums and Galleries Association (AMAGA) to visit and report on access at Sovereign Hill and the nearby Australian Centre for Rare Arts &amp; Forgotten Trades. We took a group of lived experience consultants with diverse access needs to two Kyneton arts venues at the request of the Macedon Shire Ranges Council. We have commented on access for </w:t>
      </w:r>
      <w:r w:rsidR="00AF5E6F">
        <w:t>several</w:t>
      </w:r>
      <w:r>
        <w:t xml:space="preserve"> ACMI exhibitions. We support organisations with their Disability Action Plans.</w:t>
      </w:r>
    </w:p>
    <w:p w14:paraId="6234538A" w14:textId="2A201EF2" w:rsidR="00BF691E" w:rsidRDefault="00BF691E" w:rsidP="00BF691E">
      <w:pPr>
        <w:jc w:val="center"/>
        <w:rPr>
          <w:iCs/>
          <w:color w:val="404040" w:themeColor="text1" w:themeTint="BF"/>
        </w:rPr>
      </w:pPr>
      <w:r w:rsidRPr="00BF691E">
        <w:rPr>
          <w:iCs/>
          <w:color w:val="404040" w:themeColor="text1" w:themeTint="BF"/>
        </w:rPr>
        <w:t xml:space="preserve">“…Thanks for (…) your incredible expertise and commitment to the reaccreditation and assisting Sovereign Hill on their next steps in access and inclusion, with such supportive, constructive and practical advice.” </w:t>
      </w:r>
      <w:r w:rsidR="000225A7">
        <w:rPr>
          <w:iCs/>
          <w:color w:val="404040" w:themeColor="text1" w:themeTint="BF"/>
        </w:rPr>
        <w:t xml:space="preserve">– </w:t>
      </w:r>
      <w:r w:rsidRPr="00BF691E">
        <w:rPr>
          <w:iCs/>
          <w:color w:val="404040" w:themeColor="text1" w:themeTint="BF"/>
        </w:rPr>
        <w:t>Caroline Wall, Senior Manager, Accreditation Programs, Australian Museums and Galleries Association Victoria</w:t>
      </w:r>
    </w:p>
    <w:p w14:paraId="35FF5A95" w14:textId="77777777" w:rsidR="00931670" w:rsidRDefault="00931670" w:rsidP="00BF691E">
      <w:pPr>
        <w:jc w:val="center"/>
        <w:rPr>
          <w:iCs/>
          <w:color w:val="404040" w:themeColor="text1" w:themeTint="BF"/>
        </w:rPr>
      </w:pPr>
    </w:p>
    <w:p w14:paraId="0F8A3E56" w14:textId="77777777" w:rsidR="00931670" w:rsidRDefault="00931670" w:rsidP="00BF691E">
      <w:pPr>
        <w:jc w:val="center"/>
        <w:rPr>
          <w:iCs/>
          <w:color w:val="404040" w:themeColor="text1" w:themeTint="BF"/>
        </w:rPr>
      </w:pPr>
    </w:p>
    <w:p w14:paraId="4575CB9A" w14:textId="77777777" w:rsidR="00931670" w:rsidRDefault="00931670" w:rsidP="00BF691E">
      <w:pPr>
        <w:jc w:val="center"/>
        <w:rPr>
          <w:iCs/>
          <w:color w:val="404040" w:themeColor="text1" w:themeTint="BF"/>
        </w:rPr>
      </w:pPr>
    </w:p>
    <w:p w14:paraId="413772E6" w14:textId="77777777" w:rsidR="00931670" w:rsidRDefault="00931670" w:rsidP="00BF691E">
      <w:pPr>
        <w:jc w:val="center"/>
        <w:rPr>
          <w:iCs/>
          <w:color w:val="404040" w:themeColor="text1" w:themeTint="BF"/>
        </w:rPr>
      </w:pPr>
    </w:p>
    <w:p w14:paraId="33D999CB" w14:textId="77777777" w:rsidR="00931670" w:rsidRDefault="00931670" w:rsidP="00BF691E">
      <w:pPr>
        <w:jc w:val="center"/>
        <w:rPr>
          <w:iCs/>
          <w:color w:val="404040" w:themeColor="text1" w:themeTint="BF"/>
        </w:rPr>
      </w:pPr>
    </w:p>
    <w:p w14:paraId="6920FB93" w14:textId="77777777" w:rsidR="00931670" w:rsidRDefault="00931670" w:rsidP="00BF691E">
      <w:pPr>
        <w:jc w:val="center"/>
        <w:rPr>
          <w:iCs/>
          <w:color w:val="404040" w:themeColor="text1" w:themeTint="BF"/>
        </w:rPr>
      </w:pPr>
    </w:p>
    <w:p w14:paraId="522FF496" w14:textId="77777777" w:rsidR="00931670" w:rsidRDefault="00931670" w:rsidP="00BF691E">
      <w:pPr>
        <w:jc w:val="center"/>
        <w:rPr>
          <w:iCs/>
          <w:color w:val="404040" w:themeColor="text1" w:themeTint="BF"/>
        </w:rPr>
      </w:pPr>
    </w:p>
    <w:p w14:paraId="2F06B401" w14:textId="77777777" w:rsidR="00931670" w:rsidRDefault="00931670" w:rsidP="00BF691E">
      <w:pPr>
        <w:jc w:val="center"/>
        <w:rPr>
          <w:iCs/>
          <w:color w:val="404040" w:themeColor="text1" w:themeTint="BF"/>
        </w:rPr>
      </w:pPr>
    </w:p>
    <w:p w14:paraId="0320E82D" w14:textId="77777777" w:rsidR="00931670" w:rsidRDefault="00931670" w:rsidP="00BF691E">
      <w:pPr>
        <w:jc w:val="center"/>
        <w:rPr>
          <w:iCs/>
          <w:color w:val="404040" w:themeColor="text1" w:themeTint="BF"/>
        </w:rPr>
      </w:pPr>
    </w:p>
    <w:p w14:paraId="2D29196E" w14:textId="77777777" w:rsidR="00931670" w:rsidRDefault="00931670" w:rsidP="00BF691E">
      <w:pPr>
        <w:jc w:val="center"/>
        <w:rPr>
          <w:iCs/>
          <w:color w:val="404040" w:themeColor="text1" w:themeTint="BF"/>
        </w:rPr>
      </w:pPr>
    </w:p>
    <w:p w14:paraId="4178FFAC" w14:textId="77777777" w:rsidR="00931670" w:rsidRDefault="00931670" w:rsidP="00BF691E">
      <w:pPr>
        <w:jc w:val="center"/>
        <w:rPr>
          <w:iCs/>
          <w:color w:val="404040" w:themeColor="text1" w:themeTint="BF"/>
        </w:rPr>
      </w:pPr>
    </w:p>
    <w:p w14:paraId="32582AFD" w14:textId="77777777" w:rsidR="00931670" w:rsidRDefault="00931670" w:rsidP="00BF691E">
      <w:pPr>
        <w:jc w:val="center"/>
        <w:rPr>
          <w:iCs/>
          <w:color w:val="404040" w:themeColor="text1" w:themeTint="BF"/>
        </w:rPr>
      </w:pPr>
    </w:p>
    <w:p w14:paraId="76DEE9EA" w14:textId="77777777" w:rsidR="00931670" w:rsidRDefault="00931670" w:rsidP="00BF691E">
      <w:pPr>
        <w:jc w:val="center"/>
        <w:rPr>
          <w:iCs/>
          <w:color w:val="404040" w:themeColor="text1" w:themeTint="BF"/>
        </w:rPr>
      </w:pPr>
    </w:p>
    <w:p w14:paraId="63C006A3" w14:textId="530146F9" w:rsidR="009D0608" w:rsidRDefault="009D0608" w:rsidP="00256AB9">
      <w:pPr>
        <w:pStyle w:val="Heading2"/>
      </w:pPr>
      <w:r w:rsidRPr="009D0608">
        <w:lastRenderedPageBreak/>
        <w:t>Auspicing</w:t>
      </w:r>
      <w:r>
        <w:t xml:space="preserve"> and Grant Support</w:t>
      </w:r>
    </w:p>
    <w:p w14:paraId="62FFAC42" w14:textId="77777777" w:rsidR="00BF691E" w:rsidRDefault="00BF691E" w:rsidP="00BF691E">
      <w:r>
        <w:t>We helped more artists to thrive with grants and auspicing support. Providing education, professional development and confidence to navigate funding systems and manage their projects.</w:t>
      </w:r>
    </w:p>
    <w:p w14:paraId="05805565" w14:textId="77777777" w:rsidR="00BF691E" w:rsidRDefault="00BF691E" w:rsidP="00BF691E">
      <w:r>
        <w:t xml:space="preserve">More than 10 supported grants were successful, converted to auspiced grants. Auspiced projects developed and presented new or existing work by Deaf/Disabled artists in visual arts, literature, music and more. </w:t>
      </w:r>
    </w:p>
    <w:p w14:paraId="2758A902" w14:textId="77777777" w:rsidR="00BF691E" w:rsidRDefault="00BF691E" w:rsidP="00BF691E">
      <w:r>
        <w:t>Our support offered various access points, including: Auslan, Plain English and accessible documents, translation of industry jargon, communication preferences, transcription and support with online forms.</w:t>
      </w:r>
    </w:p>
    <w:p w14:paraId="0F952511" w14:textId="77777777" w:rsidR="00BF691E" w:rsidRDefault="00BF691E" w:rsidP="00BF691E">
      <w:r>
        <w:t>We are working towards opportunities for exchange and advocacy with funding bodies. This will lead to greater grant accessibility – application, project delivery, and acquittal.</w:t>
      </w:r>
    </w:p>
    <w:p w14:paraId="56D814AE" w14:textId="0B16C856" w:rsidR="009D0608" w:rsidRDefault="009D0608" w:rsidP="00BF691E">
      <w:pPr>
        <w:pStyle w:val="Heading5"/>
      </w:pPr>
      <w:r>
        <w:t xml:space="preserve">Case study </w:t>
      </w:r>
      <w:r w:rsidR="00BF691E">
        <w:t>–</w:t>
      </w:r>
      <w:r>
        <w:t xml:space="preserve"> </w:t>
      </w:r>
      <w:r w:rsidR="00BF691E">
        <w:t xml:space="preserve">Alistair </w:t>
      </w:r>
      <w:r w:rsidR="00BF691E" w:rsidRPr="00BF691E">
        <w:t>Fowler</w:t>
      </w:r>
    </w:p>
    <w:p w14:paraId="707CC9BA" w14:textId="77777777" w:rsidR="00BF691E" w:rsidRDefault="00BF691E" w:rsidP="00BF691E">
      <w:r>
        <w:t xml:space="preserve">Alistair first engaged with grant support in early 2025. Despite receiving several art awards, he had never received a grant. Being dyslexic, he had difficulty navigating written materials and funding applications. </w:t>
      </w:r>
    </w:p>
    <w:p w14:paraId="7E53DDF3" w14:textId="77777777" w:rsidR="00BF691E" w:rsidRDefault="00BF691E" w:rsidP="00BF691E">
      <w:r>
        <w:t xml:space="preserve">AAV supported Alistair to apply for various funding opportunities. Grant support included: Zoom meetings, understanding documents, budgeting, writing to assessment criteria, and compiling support material. </w:t>
      </w:r>
    </w:p>
    <w:p w14:paraId="7276BD5E" w14:textId="4A9AD989" w:rsidR="00BF691E" w:rsidRDefault="00BF691E" w:rsidP="00BF691E">
      <w:r>
        <w:t xml:space="preserve">Each application built up Alistair’s grant writing skills and confidence. Soon, he was successful with the City of Melbourne Annual Arts Grant. He </w:t>
      </w:r>
      <w:r w:rsidR="00AF5E6F">
        <w:t>received</w:t>
      </w:r>
      <w:r>
        <w:t xml:space="preserve"> funding to exhibit his sculptural work "The Art of Becoming Proud".</w:t>
      </w:r>
    </w:p>
    <w:p w14:paraId="3EC8986F" w14:textId="039FC0F7" w:rsidR="009D0608" w:rsidRDefault="00BF691E" w:rsidP="00BF691E">
      <w:r>
        <w:t>The Art of Becoming Proud is a sculptural exhibition created by queer ASD artist Alistair Fowler. It celebrates pride, identity, and resilience. The project merges personal experience with disability community pride and centres audience access. He uses ceramics, typography and bold colours. Alistair will present in May 2026 at Library at the Dock Gallery.</w:t>
      </w:r>
    </w:p>
    <w:p w14:paraId="34F5285F" w14:textId="77777777" w:rsidR="009D0608" w:rsidRPr="009D0608" w:rsidRDefault="009D0608" w:rsidP="00256AB9">
      <w:pPr>
        <w:pStyle w:val="Heading2"/>
      </w:pPr>
      <w:r>
        <w:t>Awards</w:t>
      </w:r>
    </w:p>
    <w:p w14:paraId="3C1AA0E6" w14:textId="17DB0F2C" w:rsidR="009D0608" w:rsidRDefault="009D0608" w:rsidP="009D0608">
      <w:pPr>
        <w:pStyle w:val="Heading3"/>
      </w:pPr>
      <w:r>
        <w:t>Stella Young Awa</w:t>
      </w:r>
      <w:r w:rsidR="00BF691E">
        <w:t>r</w:t>
      </w:r>
      <w:r>
        <w:t>d</w:t>
      </w:r>
    </w:p>
    <w:p w14:paraId="73EE7B21" w14:textId="56CBBDD9" w:rsidR="00BF691E" w:rsidRPr="00BF691E" w:rsidRDefault="00BF691E" w:rsidP="00BF691E">
      <w:pPr>
        <w:pStyle w:val="Heading4"/>
      </w:pPr>
      <w:r>
        <w:t>Inez Playford</w:t>
      </w:r>
    </w:p>
    <w:p w14:paraId="649B6FF8" w14:textId="77777777" w:rsidR="009D0608" w:rsidRDefault="009D0608" w:rsidP="009D0608">
      <w:r>
        <w:t>The Stella Young Award recognises the artistic impact young Deaf and Disabled people have in comedy, performing arts and screen.</w:t>
      </w:r>
    </w:p>
    <w:p w14:paraId="0EC6780D" w14:textId="77777777" w:rsidR="00BF691E" w:rsidRDefault="00BF691E" w:rsidP="00BF691E">
      <w:r>
        <w:lastRenderedPageBreak/>
        <w:t>Inez is an emerging Writer, Director, and Producer with a Master of Directing from AFTRS whose work centres disabled, queer and intersectional storytelling. Her debut short film Rehabilitating premiered at Sydney Film Festival and screened at St Kilda Film Festival and Flickerfest before being acquired by SBS for national broadcast. The film was made on AFTRS’ first accessible film set, which Inez co-designed with disabled cast and crew, and has since become a teaching model for accessibility.</w:t>
      </w:r>
    </w:p>
    <w:p w14:paraId="7AB94A40" w14:textId="44012180" w:rsidR="009D0608" w:rsidRDefault="00BF691E" w:rsidP="00BF691E">
      <w:r>
        <w:t>Inez is currently directing and producing a documentary following disability advocate and actor Bridie McKim as she challenges NDIS funding cuts, marking Inez’s expansion into documentary storytelling.</w:t>
      </w:r>
    </w:p>
    <w:p w14:paraId="451CF04B" w14:textId="77777777" w:rsidR="009D0608" w:rsidRDefault="009D0608" w:rsidP="009D0608">
      <w:pPr>
        <w:pStyle w:val="Heading3"/>
      </w:pPr>
      <w:r>
        <w:t>Lesley Hall Arts and Disability Scholarship</w:t>
      </w:r>
    </w:p>
    <w:p w14:paraId="4861DF14" w14:textId="0E7A59C8" w:rsidR="00BF691E" w:rsidRPr="00BF691E" w:rsidRDefault="00BF691E" w:rsidP="00BF691E">
      <w:pPr>
        <w:pStyle w:val="Heading4"/>
      </w:pPr>
      <w:r>
        <w:t>Irene Holub</w:t>
      </w:r>
    </w:p>
    <w:p w14:paraId="023B47C3" w14:textId="77777777" w:rsidR="009D0608" w:rsidRDefault="009D0608" w:rsidP="009D0608">
      <w:r>
        <w:t>The Lesley Hall Scholarship recognises the impact Victorian Deaf and Disabled artists have when they use art as a tool for change.</w:t>
      </w:r>
    </w:p>
    <w:p w14:paraId="3134582B" w14:textId="707A5E6E" w:rsidR="00BF691E" w:rsidRDefault="00BF691E" w:rsidP="00BF691E">
      <w:r>
        <w:t>Irene is a Deaf CALD multidisciplinary artist, advocate, filmmaker, and director whose creative work explores human connection through Deaf culture and lived experience.</w:t>
      </w:r>
    </w:p>
    <w:p w14:paraId="410470DC" w14:textId="3D50F7AB" w:rsidR="009D0608" w:rsidRDefault="00BF691E" w:rsidP="00BF691E">
      <w:r>
        <w:t>Irene is guided by ‘nothing about us without us,’ and strives to open doors, mentor emerging Deaf artists, and reimagine what is possible “so our stories resonate, inspire, and transform the cultural landscape.”</w:t>
      </w:r>
    </w:p>
    <w:p w14:paraId="0B709743" w14:textId="7593CEC4" w:rsidR="00BF691E" w:rsidRDefault="00BF691E" w:rsidP="00BF691E">
      <w:pPr>
        <w:pStyle w:val="Quote"/>
      </w:pPr>
      <w:r>
        <w:t>“</w:t>
      </w:r>
      <w:r w:rsidRPr="00BF691E">
        <w:t>After many years of working with passion and commitment in the arts and advocacy, I never expected recognition for the work itself. Yet receiving an award in Lesley Hall’s name feels especially powerful, as she has long been one of my role models. To be honoured in this way feels affirming, inspiring, and profoundly encouraging.</w:t>
      </w:r>
      <w:r>
        <w:t>” – Irene Holub</w:t>
      </w:r>
    </w:p>
    <w:p w14:paraId="1E9CBEF2" w14:textId="77777777" w:rsidR="002C3FC6" w:rsidRDefault="002C3FC6" w:rsidP="00256AB9">
      <w:pPr>
        <w:pStyle w:val="Heading1"/>
      </w:pPr>
      <w:bookmarkStart w:id="7" w:name="_Toc228028943"/>
    </w:p>
    <w:p w14:paraId="485903C9" w14:textId="77777777" w:rsidR="002C3FC6" w:rsidRDefault="002C3FC6" w:rsidP="00256AB9">
      <w:pPr>
        <w:pStyle w:val="Heading1"/>
      </w:pPr>
    </w:p>
    <w:p w14:paraId="1F4F1E98" w14:textId="77777777" w:rsidR="002C3FC6" w:rsidRDefault="002C3FC6" w:rsidP="00256AB9">
      <w:pPr>
        <w:pStyle w:val="Heading1"/>
      </w:pPr>
    </w:p>
    <w:p w14:paraId="1BCD19F1" w14:textId="77777777" w:rsidR="002C3FC6" w:rsidRDefault="002C3FC6" w:rsidP="00256AB9">
      <w:pPr>
        <w:pStyle w:val="Heading1"/>
      </w:pPr>
    </w:p>
    <w:p w14:paraId="233BD5F9" w14:textId="77777777" w:rsidR="002C3FC6" w:rsidRDefault="002C3FC6" w:rsidP="00256AB9">
      <w:pPr>
        <w:pStyle w:val="Heading1"/>
      </w:pPr>
    </w:p>
    <w:p w14:paraId="4B4C9ABD" w14:textId="2668F2EB" w:rsidR="00DA5C63" w:rsidRDefault="00DA5C63" w:rsidP="00256AB9">
      <w:pPr>
        <w:pStyle w:val="Heading1"/>
      </w:pPr>
      <w:r w:rsidRPr="00256AB9">
        <w:lastRenderedPageBreak/>
        <w:t>Financials</w:t>
      </w:r>
      <w:bookmarkEnd w:id="7"/>
    </w:p>
    <w:p w14:paraId="54D9131C" w14:textId="2AAC41CE" w:rsidR="00DA5C63" w:rsidRDefault="00DA5C63" w:rsidP="00DA5C63">
      <w:r>
        <w:t>Arts Access Society Inc. Trading as Arts Access Victoria (ABN 34 192 751 897) For the Year Ended 31 December 202</w:t>
      </w:r>
      <w:r w:rsidR="006A4081">
        <w:t>5.</w:t>
      </w:r>
    </w:p>
    <w:p w14:paraId="68214AC9" w14:textId="77777777" w:rsidR="006A4081" w:rsidRDefault="006A4081" w:rsidP="006A4081">
      <w:r>
        <w:t>AAV completed the year with an operational deficit of $145,597. This is due to income recognized in 2024 for projects related to 2025, according to the audit and accounting standards and an overall deficit of $90,095 due to investment revenue of $55,502.</w:t>
      </w:r>
    </w:p>
    <w:p w14:paraId="180D90C5" w14:textId="77777777" w:rsidR="006A4081" w:rsidRDefault="006A4081" w:rsidP="006A4081">
      <w:r>
        <w:t>AAV is working through the new NDIS changes but since the pandemic we have seen changes to studio numbers, with an impact to our NDIS funded activities. Our NDIS reserves covered this deficit in 3 funds. We received State government funds that has allowed us to build our workforce and to continue running our programs and expanding activities.</w:t>
      </w:r>
    </w:p>
    <w:p w14:paraId="403CAA70" w14:textId="67218B12" w:rsidR="00EF7E07" w:rsidRPr="00EF7E07" w:rsidRDefault="00E56ACC" w:rsidP="006A4081">
      <w:hyperlink r:id="rId11" w:history="1">
        <w:r w:rsidR="00DA5C63" w:rsidRPr="00E56ACC">
          <w:rPr>
            <w:rStyle w:val="Hyperlink"/>
          </w:rPr>
          <w:t>Download the full audited Financial Statements on the AAV website.</w:t>
        </w:r>
      </w:hyperlink>
      <w:r w:rsidR="00DA5C63">
        <w:t xml:space="preserve"> </w:t>
      </w:r>
      <w:r w:rsidR="00EF7E07">
        <w:br w:type="page"/>
      </w:r>
    </w:p>
    <w:p w14:paraId="4A69DC68" w14:textId="1F37F19C" w:rsidR="00DA5C63" w:rsidRDefault="00DA5C63" w:rsidP="00DA5C63">
      <w:pPr>
        <w:pStyle w:val="Heading2"/>
      </w:pPr>
      <w:r w:rsidRPr="00DA5C63">
        <w:lastRenderedPageBreak/>
        <w:t>Statement of Profit or Loss</w:t>
      </w:r>
    </w:p>
    <w:tbl>
      <w:tblPr>
        <w:tblStyle w:val="TableGrid"/>
        <w:tblW w:w="0" w:type="auto"/>
        <w:tblLook w:val="04A0" w:firstRow="1" w:lastRow="0" w:firstColumn="1" w:lastColumn="0" w:noHBand="0" w:noVBand="1"/>
      </w:tblPr>
      <w:tblGrid>
        <w:gridCol w:w="3397"/>
        <w:gridCol w:w="1111"/>
        <w:gridCol w:w="2254"/>
        <w:gridCol w:w="2254"/>
      </w:tblGrid>
      <w:tr w:rsidR="00DE5A46" w14:paraId="14E240BB" w14:textId="77777777" w:rsidTr="00CC376C">
        <w:tc>
          <w:tcPr>
            <w:tcW w:w="3397" w:type="dxa"/>
          </w:tcPr>
          <w:p w14:paraId="506DA2D9" w14:textId="77777777" w:rsidR="00DE5A46" w:rsidRDefault="00DE5A46" w:rsidP="00DE5A46">
            <w:pPr>
              <w:spacing w:before="0" w:after="160" w:line="259" w:lineRule="auto"/>
            </w:pPr>
          </w:p>
        </w:tc>
        <w:tc>
          <w:tcPr>
            <w:tcW w:w="1111" w:type="dxa"/>
          </w:tcPr>
          <w:p w14:paraId="190D481C" w14:textId="2376DB04" w:rsidR="00DE5A46" w:rsidRPr="00CC376C" w:rsidRDefault="00CC376C" w:rsidP="00DE5A46">
            <w:pPr>
              <w:spacing w:before="0" w:after="160" w:line="259" w:lineRule="auto"/>
              <w:rPr>
                <w:b/>
                <w:bCs/>
              </w:rPr>
            </w:pPr>
            <w:r w:rsidRPr="00CC376C">
              <w:rPr>
                <w:b/>
                <w:bCs/>
              </w:rPr>
              <w:t>Note</w:t>
            </w:r>
          </w:p>
        </w:tc>
        <w:tc>
          <w:tcPr>
            <w:tcW w:w="2254" w:type="dxa"/>
          </w:tcPr>
          <w:p w14:paraId="2D941584" w14:textId="02FF9211" w:rsidR="00DE5A46" w:rsidRPr="00CC376C" w:rsidRDefault="00CC376C" w:rsidP="00DE5A46">
            <w:pPr>
              <w:spacing w:before="0" w:after="160" w:line="259" w:lineRule="auto"/>
              <w:rPr>
                <w:b/>
                <w:bCs/>
              </w:rPr>
            </w:pPr>
            <w:r w:rsidRPr="00CC376C">
              <w:rPr>
                <w:b/>
                <w:bCs/>
              </w:rPr>
              <w:t>202</w:t>
            </w:r>
            <w:r w:rsidR="002E7AC5">
              <w:rPr>
                <w:b/>
                <w:bCs/>
              </w:rPr>
              <w:t>5</w:t>
            </w:r>
            <w:r w:rsidRPr="00CC376C">
              <w:rPr>
                <w:b/>
                <w:bCs/>
              </w:rPr>
              <w:t xml:space="preserve"> $</w:t>
            </w:r>
          </w:p>
        </w:tc>
        <w:tc>
          <w:tcPr>
            <w:tcW w:w="2254" w:type="dxa"/>
          </w:tcPr>
          <w:p w14:paraId="250A3D66" w14:textId="2972095F" w:rsidR="00DE5A46" w:rsidRPr="00CC376C" w:rsidRDefault="00CC376C" w:rsidP="00DE5A46">
            <w:pPr>
              <w:spacing w:before="0" w:after="160" w:line="259" w:lineRule="auto"/>
              <w:rPr>
                <w:b/>
                <w:bCs/>
              </w:rPr>
            </w:pPr>
            <w:r w:rsidRPr="00CC376C">
              <w:rPr>
                <w:b/>
                <w:bCs/>
              </w:rPr>
              <w:t>202</w:t>
            </w:r>
            <w:r w:rsidR="002E7AC5">
              <w:rPr>
                <w:b/>
                <w:bCs/>
              </w:rPr>
              <w:t>4</w:t>
            </w:r>
            <w:r w:rsidRPr="00CC376C">
              <w:rPr>
                <w:b/>
                <w:bCs/>
              </w:rPr>
              <w:t xml:space="preserve"> $</w:t>
            </w:r>
          </w:p>
        </w:tc>
      </w:tr>
      <w:tr w:rsidR="008F02C3" w14:paraId="79B972F2" w14:textId="77777777" w:rsidTr="00D14E10">
        <w:tc>
          <w:tcPr>
            <w:tcW w:w="3397" w:type="dxa"/>
          </w:tcPr>
          <w:p w14:paraId="46DA1522" w14:textId="2A6A10E2" w:rsidR="008F02C3" w:rsidRDefault="008F02C3" w:rsidP="008F02C3">
            <w:pPr>
              <w:pStyle w:val="Default"/>
            </w:pPr>
            <w:r>
              <w:t xml:space="preserve">Revenue </w:t>
            </w:r>
          </w:p>
        </w:tc>
        <w:tc>
          <w:tcPr>
            <w:tcW w:w="1111" w:type="dxa"/>
          </w:tcPr>
          <w:p w14:paraId="376992F7" w14:textId="793C87E3" w:rsidR="008F02C3" w:rsidRDefault="008F02C3" w:rsidP="008F02C3">
            <w:pPr>
              <w:spacing w:before="0" w:after="160" w:line="259" w:lineRule="auto"/>
            </w:pPr>
            <w:r>
              <w:t>4</w:t>
            </w:r>
          </w:p>
        </w:tc>
        <w:tc>
          <w:tcPr>
            <w:tcW w:w="2254" w:type="dxa"/>
            <w:vAlign w:val="center"/>
          </w:tcPr>
          <w:p w14:paraId="6837F0DC" w14:textId="29F9D088" w:rsidR="008F02C3" w:rsidRPr="008F02C3" w:rsidRDefault="002E7AC5" w:rsidP="008F02C3">
            <w:pPr>
              <w:spacing w:before="0" w:after="160" w:line="259" w:lineRule="auto"/>
              <w:rPr>
                <w:b/>
                <w:bCs/>
              </w:rPr>
            </w:pPr>
            <w:r w:rsidRPr="002E7AC5">
              <w:rPr>
                <w:b/>
                <w:bCs/>
              </w:rPr>
              <w:t>2,444,390</w:t>
            </w:r>
          </w:p>
        </w:tc>
        <w:tc>
          <w:tcPr>
            <w:tcW w:w="2254" w:type="dxa"/>
            <w:vAlign w:val="center"/>
          </w:tcPr>
          <w:p w14:paraId="45200DAD" w14:textId="2ADB7524" w:rsidR="008F02C3" w:rsidRDefault="002E7AC5" w:rsidP="008F02C3">
            <w:pPr>
              <w:spacing w:before="0" w:after="160" w:line="259" w:lineRule="auto"/>
            </w:pPr>
            <w:r w:rsidRPr="002E7AC5">
              <w:t>3,039,105</w:t>
            </w:r>
          </w:p>
        </w:tc>
      </w:tr>
      <w:tr w:rsidR="008F02C3" w14:paraId="2D93FCEC" w14:textId="77777777" w:rsidTr="00B83BBD">
        <w:tc>
          <w:tcPr>
            <w:tcW w:w="3397" w:type="dxa"/>
          </w:tcPr>
          <w:p w14:paraId="5A7BAA98" w14:textId="16D45DFA" w:rsidR="008F02C3" w:rsidRDefault="008F02C3" w:rsidP="008F02C3">
            <w:pPr>
              <w:pStyle w:val="Default"/>
            </w:pPr>
            <w:r>
              <w:t xml:space="preserve">Employee benefit expenses </w:t>
            </w:r>
          </w:p>
        </w:tc>
        <w:tc>
          <w:tcPr>
            <w:tcW w:w="1111" w:type="dxa"/>
          </w:tcPr>
          <w:p w14:paraId="554C6CA6" w14:textId="6FC1A8ED" w:rsidR="008F02C3" w:rsidRDefault="008F02C3" w:rsidP="008F02C3">
            <w:pPr>
              <w:spacing w:before="0" w:after="160" w:line="259" w:lineRule="auto"/>
            </w:pPr>
          </w:p>
        </w:tc>
        <w:tc>
          <w:tcPr>
            <w:tcW w:w="2254" w:type="dxa"/>
            <w:vAlign w:val="center"/>
          </w:tcPr>
          <w:p w14:paraId="6FF0F791" w14:textId="1E82CDA3" w:rsidR="008F02C3" w:rsidRPr="008F02C3" w:rsidRDefault="002E7AC5" w:rsidP="008F02C3">
            <w:pPr>
              <w:spacing w:before="0" w:after="160" w:line="259" w:lineRule="auto"/>
              <w:rPr>
                <w:b/>
                <w:bCs/>
              </w:rPr>
            </w:pPr>
            <w:r w:rsidRPr="002E7AC5">
              <w:rPr>
                <w:b/>
                <w:bCs/>
              </w:rPr>
              <w:t>(2,027,218)</w:t>
            </w:r>
          </w:p>
        </w:tc>
        <w:tc>
          <w:tcPr>
            <w:tcW w:w="2254" w:type="dxa"/>
            <w:vAlign w:val="center"/>
          </w:tcPr>
          <w:p w14:paraId="0A5658A9" w14:textId="13B04D7A" w:rsidR="008F02C3" w:rsidRDefault="002E7AC5" w:rsidP="008F02C3">
            <w:pPr>
              <w:spacing w:before="0" w:after="160" w:line="259" w:lineRule="auto"/>
            </w:pPr>
            <w:r w:rsidRPr="002E7AC5">
              <w:t>(1,931,512)</w:t>
            </w:r>
          </w:p>
        </w:tc>
      </w:tr>
      <w:tr w:rsidR="008F02C3" w14:paraId="3EB9E1E3" w14:textId="77777777" w:rsidTr="009D0CDA">
        <w:tc>
          <w:tcPr>
            <w:tcW w:w="3397" w:type="dxa"/>
          </w:tcPr>
          <w:p w14:paraId="215AC60C" w14:textId="173023C4" w:rsidR="008F02C3" w:rsidRDefault="008F02C3" w:rsidP="008F02C3">
            <w:pPr>
              <w:pStyle w:val="Default"/>
            </w:pPr>
            <w:r>
              <w:t xml:space="preserve">Depreciation and amortisation expense </w:t>
            </w:r>
          </w:p>
        </w:tc>
        <w:tc>
          <w:tcPr>
            <w:tcW w:w="1111" w:type="dxa"/>
          </w:tcPr>
          <w:p w14:paraId="326C8BCF" w14:textId="0FC19C56" w:rsidR="008F02C3" w:rsidRDefault="008F02C3" w:rsidP="008F02C3">
            <w:pPr>
              <w:spacing w:before="0" w:after="160" w:line="259" w:lineRule="auto"/>
            </w:pPr>
            <w:r>
              <w:t>5</w:t>
            </w:r>
          </w:p>
        </w:tc>
        <w:tc>
          <w:tcPr>
            <w:tcW w:w="2254" w:type="dxa"/>
            <w:vAlign w:val="center"/>
          </w:tcPr>
          <w:p w14:paraId="093C48B0" w14:textId="169EE848" w:rsidR="008F02C3" w:rsidRPr="008F02C3" w:rsidRDefault="002E7AC5" w:rsidP="008F02C3">
            <w:pPr>
              <w:spacing w:before="0" w:after="160" w:line="259" w:lineRule="auto"/>
              <w:rPr>
                <w:b/>
                <w:bCs/>
              </w:rPr>
            </w:pPr>
            <w:r w:rsidRPr="002E7AC5">
              <w:rPr>
                <w:b/>
                <w:bCs/>
              </w:rPr>
              <w:t>(15,411)</w:t>
            </w:r>
          </w:p>
        </w:tc>
        <w:tc>
          <w:tcPr>
            <w:tcW w:w="2254" w:type="dxa"/>
            <w:vAlign w:val="center"/>
          </w:tcPr>
          <w:p w14:paraId="68BD3C29" w14:textId="2065EFC3" w:rsidR="008F02C3" w:rsidRDefault="002E7AC5" w:rsidP="008F02C3">
            <w:pPr>
              <w:spacing w:before="0" w:after="160" w:line="259" w:lineRule="auto"/>
            </w:pPr>
            <w:r w:rsidRPr="002E7AC5">
              <w:t>(72,733)</w:t>
            </w:r>
          </w:p>
        </w:tc>
      </w:tr>
      <w:tr w:rsidR="008F02C3" w14:paraId="28024AED" w14:textId="77777777" w:rsidTr="00C44A47">
        <w:tc>
          <w:tcPr>
            <w:tcW w:w="3397" w:type="dxa"/>
          </w:tcPr>
          <w:p w14:paraId="7C1B9801" w14:textId="36F0F74C" w:rsidR="008F02C3" w:rsidRDefault="008F02C3" w:rsidP="008F02C3">
            <w:pPr>
              <w:pStyle w:val="Default"/>
            </w:pPr>
            <w:r>
              <w:t xml:space="preserve">Program cost </w:t>
            </w:r>
          </w:p>
        </w:tc>
        <w:tc>
          <w:tcPr>
            <w:tcW w:w="1111" w:type="dxa"/>
          </w:tcPr>
          <w:p w14:paraId="49A356B3" w14:textId="77777777" w:rsidR="008F02C3" w:rsidRDefault="008F02C3" w:rsidP="008F02C3">
            <w:pPr>
              <w:spacing w:before="0" w:after="160" w:line="259" w:lineRule="auto"/>
            </w:pPr>
          </w:p>
        </w:tc>
        <w:tc>
          <w:tcPr>
            <w:tcW w:w="2254" w:type="dxa"/>
            <w:vAlign w:val="center"/>
          </w:tcPr>
          <w:p w14:paraId="1A41E014" w14:textId="3E4AF07A" w:rsidR="008F02C3" w:rsidRPr="008F02C3" w:rsidRDefault="002E7AC5" w:rsidP="008F02C3">
            <w:pPr>
              <w:spacing w:before="0" w:after="160" w:line="259" w:lineRule="auto"/>
              <w:rPr>
                <w:b/>
                <w:bCs/>
              </w:rPr>
            </w:pPr>
            <w:r w:rsidRPr="002E7AC5">
              <w:rPr>
                <w:b/>
                <w:bCs/>
              </w:rPr>
              <w:t>(261,748)</w:t>
            </w:r>
          </w:p>
        </w:tc>
        <w:tc>
          <w:tcPr>
            <w:tcW w:w="2254" w:type="dxa"/>
            <w:vAlign w:val="center"/>
          </w:tcPr>
          <w:p w14:paraId="6C3E2AF1" w14:textId="68F3CAA2" w:rsidR="008F02C3" w:rsidRDefault="002E7AC5" w:rsidP="008F02C3">
            <w:pPr>
              <w:spacing w:before="0" w:after="160" w:line="259" w:lineRule="auto"/>
            </w:pPr>
            <w:r w:rsidRPr="002E7AC5">
              <w:t>(974,650)</w:t>
            </w:r>
          </w:p>
        </w:tc>
      </w:tr>
      <w:tr w:rsidR="008F02C3" w14:paraId="23A565EE" w14:textId="77777777" w:rsidTr="00E26F31">
        <w:tc>
          <w:tcPr>
            <w:tcW w:w="3397" w:type="dxa"/>
          </w:tcPr>
          <w:p w14:paraId="7B0124CF" w14:textId="2164E6A4" w:rsidR="008F02C3" w:rsidRDefault="008F02C3" w:rsidP="008F02C3">
            <w:pPr>
              <w:pStyle w:val="Default"/>
            </w:pPr>
            <w:r>
              <w:t xml:space="preserve">Marketing and communications </w:t>
            </w:r>
          </w:p>
        </w:tc>
        <w:tc>
          <w:tcPr>
            <w:tcW w:w="1111" w:type="dxa"/>
          </w:tcPr>
          <w:p w14:paraId="75EE1AAC" w14:textId="77777777" w:rsidR="008F02C3" w:rsidRDefault="008F02C3" w:rsidP="008F02C3">
            <w:pPr>
              <w:spacing w:before="0" w:after="160" w:line="259" w:lineRule="auto"/>
            </w:pPr>
          </w:p>
        </w:tc>
        <w:tc>
          <w:tcPr>
            <w:tcW w:w="2254" w:type="dxa"/>
            <w:vAlign w:val="center"/>
          </w:tcPr>
          <w:p w14:paraId="4A8233E4" w14:textId="7C82AB7C" w:rsidR="008F02C3" w:rsidRPr="008F02C3" w:rsidRDefault="002E7AC5" w:rsidP="008F02C3">
            <w:pPr>
              <w:spacing w:before="0" w:after="160" w:line="259" w:lineRule="auto"/>
              <w:rPr>
                <w:b/>
                <w:bCs/>
              </w:rPr>
            </w:pPr>
            <w:r w:rsidRPr="002E7AC5">
              <w:rPr>
                <w:b/>
                <w:bCs/>
              </w:rPr>
              <w:t>(46,319)</w:t>
            </w:r>
          </w:p>
        </w:tc>
        <w:tc>
          <w:tcPr>
            <w:tcW w:w="2254" w:type="dxa"/>
            <w:vAlign w:val="center"/>
          </w:tcPr>
          <w:p w14:paraId="000D91F7" w14:textId="750D535B" w:rsidR="008F02C3" w:rsidRDefault="002E7AC5" w:rsidP="008F02C3">
            <w:pPr>
              <w:spacing w:before="0" w:after="160" w:line="259" w:lineRule="auto"/>
            </w:pPr>
            <w:r w:rsidRPr="002E7AC5">
              <w:t>(46,857)</w:t>
            </w:r>
          </w:p>
        </w:tc>
      </w:tr>
      <w:tr w:rsidR="008F02C3" w14:paraId="2F808481" w14:textId="77777777" w:rsidTr="00F46879">
        <w:tc>
          <w:tcPr>
            <w:tcW w:w="3397" w:type="dxa"/>
          </w:tcPr>
          <w:p w14:paraId="6FE1B3F9" w14:textId="37570B9A" w:rsidR="008F02C3" w:rsidRDefault="008F02C3" w:rsidP="008F02C3">
            <w:pPr>
              <w:pStyle w:val="Default"/>
            </w:pPr>
            <w:r>
              <w:t xml:space="preserve">Administration expenses </w:t>
            </w:r>
          </w:p>
        </w:tc>
        <w:tc>
          <w:tcPr>
            <w:tcW w:w="1111" w:type="dxa"/>
          </w:tcPr>
          <w:p w14:paraId="40C23DF6" w14:textId="77777777" w:rsidR="008F02C3" w:rsidRDefault="008F02C3" w:rsidP="008F02C3">
            <w:pPr>
              <w:spacing w:before="0" w:after="160" w:line="259" w:lineRule="auto"/>
            </w:pPr>
          </w:p>
        </w:tc>
        <w:tc>
          <w:tcPr>
            <w:tcW w:w="2254" w:type="dxa"/>
            <w:vAlign w:val="center"/>
          </w:tcPr>
          <w:p w14:paraId="76CFCC6C" w14:textId="2BC5AB54" w:rsidR="008F02C3" w:rsidRPr="008F02C3" w:rsidRDefault="002E7AC5" w:rsidP="008F02C3">
            <w:pPr>
              <w:spacing w:before="0" w:after="160" w:line="259" w:lineRule="auto"/>
              <w:rPr>
                <w:b/>
                <w:bCs/>
              </w:rPr>
            </w:pPr>
            <w:r w:rsidRPr="002E7AC5">
              <w:rPr>
                <w:b/>
                <w:bCs/>
              </w:rPr>
              <w:t>(239,291)</w:t>
            </w:r>
          </w:p>
        </w:tc>
        <w:tc>
          <w:tcPr>
            <w:tcW w:w="2254" w:type="dxa"/>
            <w:vAlign w:val="center"/>
          </w:tcPr>
          <w:p w14:paraId="1CE24512" w14:textId="212143A4" w:rsidR="008F02C3" w:rsidRDefault="002E7AC5" w:rsidP="008F02C3">
            <w:pPr>
              <w:spacing w:before="0" w:after="160" w:line="259" w:lineRule="auto"/>
            </w:pPr>
            <w:r w:rsidRPr="002E7AC5">
              <w:t>(232,348)</w:t>
            </w:r>
          </w:p>
        </w:tc>
      </w:tr>
      <w:tr w:rsidR="008F02C3" w14:paraId="6D9688C1" w14:textId="77777777" w:rsidTr="00172AEE">
        <w:tc>
          <w:tcPr>
            <w:tcW w:w="3397" w:type="dxa"/>
          </w:tcPr>
          <w:p w14:paraId="70680ED8" w14:textId="4AC65FD3" w:rsidR="008F02C3" w:rsidRDefault="008F02C3" w:rsidP="008F02C3">
            <w:pPr>
              <w:pStyle w:val="Default"/>
            </w:pPr>
            <w:r>
              <w:t xml:space="preserve">Interest expense - leases </w:t>
            </w:r>
          </w:p>
        </w:tc>
        <w:tc>
          <w:tcPr>
            <w:tcW w:w="1111" w:type="dxa"/>
          </w:tcPr>
          <w:p w14:paraId="630E6755" w14:textId="77777777" w:rsidR="008F02C3" w:rsidRDefault="008F02C3" w:rsidP="008F02C3">
            <w:pPr>
              <w:spacing w:before="0" w:after="160" w:line="259" w:lineRule="auto"/>
            </w:pPr>
          </w:p>
        </w:tc>
        <w:tc>
          <w:tcPr>
            <w:tcW w:w="2254" w:type="dxa"/>
            <w:vAlign w:val="center"/>
          </w:tcPr>
          <w:p w14:paraId="3A9F1340" w14:textId="18095A2C" w:rsidR="008F02C3" w:rsidRPr="008F02C3" w:rsidRDefault="002E7AC5" w:rsidP="008F02C3">
            <w:pPr>
              <w:spacing w:before="0" w:after="160" w:line="259" w:lineRule="auto"/>
              <w:rPr>
                <w:b/>
                <w:bCs/>
              </w:rPr>
            </w:pPr>
            <w:r>
              <w:rPr>
                <w:b/>
                <w:bCs/>
              </w:rPr>
              <w:t>-</w:t>
            </w:r>
            <w:r w:rsidR="008F02C3" w:rsidRPr="008F02C3">
              <w:rPr>
                <w:b/>
                <w:bCs/>
              </w:rPr>
              <w:t xml:space="preserve"> </w:t>
            </w:r>
          </w:p>
        </w:tc>
        <w:tc>
          <w:tcPr>
            <w:tcW w:w="2254" w:type="dxa"/>
            <w:vAlign w:val="center"/>
          </w:tcPr>
          <w:p w14:paraId="03B26342" w14:textId="0175A872" w:rsidR="008F02C3" w:rsidRDefault="002E7AC5" w:rsidP="008F02C3">
            <w:pPr>
              <w:spacing w:before="0" w:after="160" w:line="259" w:lineRule="auto"/>
            </w:pPr>
            <w:r w:rsidRPr="002E7AC5">
              <w:t>(549)</w:t>
            </w:r>
          </w:p>
        </w:tc>
      </w:tr>
    </w:tbl>
    <w:p w14:paraId="59791B9F" w14:textId="70B61F99" w:rsidR="00DE5A46" w:rsidRDefault="00DE5A46" w:rsidP="00DE5A46">
      <w:pPr>
        <w:spacing w:before="0" w:after="160" w:line="259" w:lineRule="auto"/>
      </w:pPr>
    </w:p>
    <w:tbl>
      <w:tblPr>
        <w:tblStyle w:val="TableGrid"/>
        <w:tblW w:w="0" w:type="auto"/>
        <w:tblLook w:val="04A0" w:firstRow="1" w:lastRow="0" w:firstColumn="1" w:lastColumn="0" w:noHBand="0" w:noVBand="1"/>
      </w:tblPr>
      <w:tblGrid>
        <w:gridCol w:w="3397"/>
        <w:gridCol w:w="1111"/>
        <w:gridCol w:w="2254"/>
        <w:gridCol w:w="2254"/>
      </w:tblGrid>
      <w:tr w:rsidR="008F02C3" w14:paraId="672BC97B" w14:textId="77777777" w:rsidTr="001F2EAE">
        <w:tc>
          <w:tcPr>
            <w:tcW w:w="3397" w:type="dxa"/>
          </w:tcPr>
          <w:p w14:paraId="4A66F1AA" w14:textId="77777777" w:rsidR="008F02C3" w:rsidRPr="008F02C3" w:rsidRDefault="008F02C3" w:rsidP="008F02C3">
            <w:pPr>
              <w:pStyle w:val="Default"/>
              <w:rPr>
                <w:b/>
                <w:bCs/>
              </w:rPr>
            </w:pPr>
          </w:p>
        </w:tc>
        <w:tc>
          <w:tcPr>
            <w:tcW w:w="1111" w:type="dxa"/>
          </w:tcPr>
          <w:p w14:paraId="6A51F367" w14:textId="05FF10F2" w:rsidR="008F02C3" w:rsidRDefault="008F02C3" w:rsidP="008F02C3">
            <w:pPr>
              <w:spacing w:before="0" w:after="160" w:line="259" w:lineRule="auto"/>
            </w:pPr>
            <w:r>
              <w:t xml:space="preserve">Note </w:t>
            </w:r>
          </w:p>
        </w:tc>
        <w:tc>
          <w:tcPr>
            <w:tcW w:w="2254" w:type="dxa"/>
          </w:tcPr>
          <w:p w14:paraId="64F39ECB" w14:textId="3A5FF14D" w:rsidR="008F02C3" w:rsidRPr="008F02C3" w:rsidRDefault="008F02C3" w:rsidP="008F02C3">
            <w:pPr>
              <w:spacing w:before="0" w:after="160" w:line="259" w:lineRule="auto"/>
              <w:rPr>
                <w:b/>
                <w:bCs/>
              </w:rPr>
            </w:pPr>
            <w:r>
              <w:t>202</w:t>
            </w:r>
            <w:r w:rsidR="002E7AC5">
              <w:t>5</w:t>
            </w:r>
            <w:r>
              <w:t xml:space="preserve"> $ </w:t>
            </w:r>
          </w:p>
        </w:tc>
        <w:tc>
          <w:tcPr>
            <w:tcW w:w="2254" w:type="dxa"/>
          </w:tcPr>
          <w:p w14:paraId="711FAC8E" w14:textId="753F3BE4" w:rsidR="008F02C3" w:rsidRDefault="008F02C3" w:rsidP="008F02C3">
            <w:pPr>
              <w:spacing w:before="0" w:after="160" w:line="259" w:lineRule="auto"/>
            </w:pPr>
            <w:r>
              <w:t>202</w:t>
            </w:r>
            <w:r w:rsidR="002E7AC5">
              <w:t xml:space="preserve">4 </w:t>
            </w:r>
            <w:r>
              <w:t xml:space="preserve">$ </w:t>
            </w:r>
          </w:p>
        </w:tc>
      </w:tr>
      <w:tr w:rsidR="008F02C3" w14:paraId="4B457AAB" w14:textId="77777777" w:rsidTr="00BE44BF">
        <w:tc>
          <w:tcPr>
            <w:tcW w:w="3397" w:type="dxa"/>
          </w:tcPr>
          <w:p w14:paraId="1E9C6DE7" w14:textId="77777777" w:rsidR="008F02C3" w:rsidRPr="008F02C3" w:rsidRDefault="008F02C3" w:rsidP="008F02C3">
            <w:pPr>
              <w:pStyle w:val="Default"/>
              <w:rPr>
                <w:b/>
                <w:bCs/>
              </w:rPr>
            </w:pPr>
            <w:r w:rsidRPr="008F02C3">
              <w:rPr>
                <w:b/>
                <w:bCs/>
              </w:rPr>
              <w:t xml:space="preserve">Surplus/(deficit) from continuing operations </w:t>
            </w:r>
          </w:p>
          <w:p w14:paraId="64114F10" w14:textId="77777777" w:rsidR="008F02C3" w:rsidRPr="008F02C3" w:rsidRDefault="008F02C3" w:rsidP="008F02C3">
            <w:pPr>
              <w:spacing w:before="0" w:after="160" w:line="259" w:lineRule="auto"/>
              <w:rPr>
                <w:b/>
                <w:bCs/>
              </w:rPr>
            </w:pPr>
          </w:p>
        </w:tc>
        <w:tc>
          <w:tcPr>
            <w:tcW w:w="1111" w:type="dxa"/>
          </w:tcPr>
          <w:p w14:paraId="07130DEE" w14:textId="77777777" w:rsidR="008F02C3" w:rsidRDefault="008F02C3" w:rsidP="008F02C3">
            <w:pPr>
              <w:spacing w:before="0" w:after="160" w:line="259" w:lineRule="auto"/>
            </w:pPr>
          </w:p>
        </w:tc>
        <w:tc>
          <w:tcPr>
            <w:tcW w:w="2254" w:type="dxa"/>
            <w:vAlign w:val="center"/>
          </w:tcPr>
          <w:p w14:paraId="010A1345" w14:textId="6B3433E8" w:rsidR="008F02C3" w:rsidRPr="008F02C3" w:rsidRDefault="0017413E" w:rsidP="008F02C3">
            <w:pPr>
              <w:spacing w:before="0" w:after="160" w:line="259" w:lineRule="auto"/>
              <w:rPr>
                <w:b/>
                <w:bCs/>
              </w:rPr>
            </w:pPr>
            <w:r w:rsidRPr="0017413E">
              <w:rPr>
                <w:b/>
                <w:bCs/>
              </w:rPr>
              <w:t>(145,597)</w:t>
            </w:r>
          </w:p>
        </w:tc>
        <w:tc>
          <w:tcPr>
            <w:tcW w:w="2254" w:type="dxa"/>
            <w:vAlign w:val="center"/>
          </w:tcPr>
          <w:p w14:paraId="7A91ED31" w14:textId="542CC534" w:rsidR="008F02C3" w:rsidRDefault="002E7AC5" w:rsidP="008F02C3">
            <w:pPr>
              <w:spacing w:before="0" w:after="160" w:line="259" w:lineRule="auto"/>
            </w:pPr>
            <w:r w:rsidRPr="002E7AC5">
              <w:t>(219,544)</w:t>
            </w:r>
          </w:p>
        </w:tc>
      </w:tr>
      <w:tr w:rsidR="008F02C3" w14:paraId="139994B1" w14:textId="77777777" w:rsidTr="00B9094F">
        <w:trPr>
          <w:trHeight w:val="716"/>
        </w:trPr>
        <w:tc>
          <w:tcPr>
            <w:tcW w:w="3397" w:type="dxa"/>
          </w:tcPr>
          <w:p w14:paraId="6BC0BDB9" w14:textId="77777777" w:rsidR="008F02C3" w:rsidRPr="008F02C3" w:rsidRDefault="008F02C3" w:rsidP="008F02C3">
            <w:pPr>
              <w:pStyle w:val="Default"/>
              <w:rPr>
                <w:b/>
                <w:bCs/>
              </w:rPr>
            </w:pPr>
            <w:r w:rsidRPr="008F02C3">
              <w:rPr>
                <w:b/>
                <w:bCs/>
              </w:rPr>
              <w:t xml:space="preserve">Investment activities: </w:t>
            </w:r>
          </w:p>
          <w:p w14:paraId="437FDFE4" w14:textId="694BB671" w:rsidR="008F02C3" w:rsidRPr="008F02C3" w:rsidRDefault="008F02C3" w:rsidP="008F02C3">
            <w:pPr>
              <w:pStyle w:val="Default"/>
            </w:pPr>
            <w:r>
              <w:t>Interest income</w:t>
            </w:r>
          </w:p>
        </w:tc>
        <w:tc>
          <w:tcPr>
            <w:tcW w:w="1111" w:type="dxa"/>
          </w:tcPr>
          <w:p w14:paraId="1BBD0BA4" w14:textId="77777777" w:rsidR="008F02C3" w:rsidRDefault="008F02C3" w:rsidP="008F02C3">
            <w:pPr>
              <w:spacing w:before="0" w:after="160" w:line="259" w:lineRule="auto"/>
            </w:pPr>
          </w:p>
        </w:tc>
        <w:tc>
          <w:tcPr>
            <w:tcW w:w="2254" w:type="dxa"/>
            <w:vAlign w:val="center"/>
          </w:tcPr>
          <w:p w14:paraId="3E7455F0" w14:textId="01F95A9C" w:rsidR="008F02C3" w:rsidRPr="008F02C3" w:rsidRDefault="0017413E" w:rsidP="008F02C3">
            <w:pPr>
              <w:spacing w:before="0" w:after="160" w:line="259" w:lineRule="auto"/>
              <w:rPr>
                <w:b/>
                <w:bCs/>
              </w:rPr>
            </w:pPr>
            <w:r w:rsidRPr="0017413E">
              <w:rPr>
                <w:b/>
                <w:bCs/>
              </w:rPr>
              <w:t>21,048</w:t>
            </w:r>
          </w:p>
        </w:tc>
        <w:tc>
          <w:tcPr>
            <w:tcW w:w="2254" w:type="dxa"/>
            <w:vAlign w:val="center"/>
          </w:tcPr>
          <w:p w14:paraId="1011BD58" w14:textId="04021156" w:rsidR="008F02C3" w:rsidRDefault="002E7AC5" w:rsidP="008F02C3">
            <w:pPr>
              <w:spacing w:before="0" w:after="160" w:line="259" w:lineRule="auto"/>
            </w:pPr>
            <w:r w:rsidRPr="002E7AC5">
              <w:t>32,617</w:t>
            </w:r>
          </w:p>
        </w:tc>
      </w:tr>
      <w:tr w:rsidR="008F02C3" w14:paraId="56D7DABA" w14:textId="77777777" w:rsidTr="00922FA8">
        <w:tc>
          <w:tcPr>
            <w:tcW w:w="3397" w:type="dxa"/>
          </w:tcPr>
          <w:p w14:paraId="669FC426" w14:textId="1F6536A8" w:rsidR="008F02C3" w:rsidRDefault="008F02C3" w:rsidP="008F02C3">
            <w:pPr>
              <w:pStyle w:val="Default"/>
            </w:pPr>
            <w:r>
              <w:t xml:space="preserve">Investment income - Equity Trustees </w:t>
            </w:r>
          </w:p>
        </w:tc>
        <w:tc>
          <w:tcPr>
            <w:tcW w:w="1111" w:type="dxa"/>
          </w:tcPr>
          <w:p w14:paraId="1A34CEB5" w14:textId="77777777" w:rsidR="008F02C3" w:rsidRDefault="008F02C3" w:rsidP="008F02C3">
            <w:pPr>
              <w:spacing w:before="0" w:after="160" w:line="259" w:lineRule="auto"/>
            </w:pPr>
          </w:p>
        </w:tc>
        <w:tc>
          <w:tcPr>
            <w:tcW w:w="2254" w:type="dxa"/>
            <w:vAlign w:val="center"/>
          </w:tcPr>
          <w:p w14:paraId="76EAB49E" w14:textId="7DD0BD4B" w:rsidR="008F02C3" w:rsidRPr="008F02C3" w:rsidRDefault="0017413E" w:rsidP="008F02C3">
            <w:pPr>
              <w:spacing w:before="0" w:after="160" w:line="259" w:lineRule="auto"/>
              <w:rPr>
                <w:b/>
                <w:bCs/>
              </w:rPr>
            </w:pPr>
            <w:r w:rsidRPr="0017413E">
              <w:rPr>
                <w:b/>
                <w:bCs/>
              </w:rPr>
              <w:t>45,470</w:t>
            </w:r>
          </w:p>
        </w:tc>
        <w:tc>
          <w:tcPr>
            <w:tcW w:w="2254" w:type="dxa"/>
            <w:vAlign w:val="center"/>
          </w:tcPr>
          <w:p w14:paraId="251FFA73" w14:textId="3B81A119" w:rsidR="008F02C3" w:rsidRDefault="002E7AC5" w:rsidP="008F02C3">
            <w:pPr>
              <w:spacing w:before="0" w:after="160" w:line="259" w:lineRule="auto"/>
            </w:pPr>
            <w:r w:rsidRPr="002E7AC5">
              <w:t>42,433</w:t>
            </w:r>
          </w:p>
        </w:tc>
      </w:tr>
      <w:tr w:rsidR="008F02C3" w14:paraId="3804765F" w14:textId="77777777" w:rsidTr="004452A5">
        <w:tc>
          <w:tcPr>
            <w:tcW w:w="3397" w:type="dxa"/>
          </w:tcPr>
          <w:p w14:paraId="31EF0051" w14:textId="56EEBA12" w:rsidR="008F02C3" w:rsidRPr="008F02C3" w:rsidRDefault="008F02C3" w:rsidP="008F02C3">
            <w:pPr>
              <w:pStyle w:val="Default"/>
            </w:pPr>
            <w:r>
              <w:t xml:space="preserve">Net gain/(loss) on financial assets - FVTPL </w:t>
            </w:r>
          </w:p>
        </w:tc>
        <w:tc>
          <w:tcPr>
            <w:tcW w:w="1111" w:type="dxa"/>
          </w:tcPr>
          <w:p w14:paraId="38EBE8BC" w14:textId="77777777" w:rsidR="008F02C3" w:rsidRDefault="008F02C3" w:rsidP="008F02C3">
            <w:pPr>
              <w:spacing w:before="0" w:after="160" w:line="259" w:lineRule="auto"/>
            </w:pPr>
          </w:p>
        </w:tc>
        <w:tc>
          <w:tcPr>
            <w:tcW w:w="2254" w:type="dxa"/>
            <w:vAlign w:val="center"/>
          </w:tcPr>
          <w:p w14:paraId="4D4C4ECF" w14:textId="41C72273" w:rsidR="008F02C3" w:rsidRPr="00B91A50" w:rsidRDefault="00B91A50" w:rsidP="008F02C3">
            <w:pPr>
              <w:spacing w:before="0" w:after="160" w:line="259" w:lineRule="auto"/>
              <w:rPr>
                <w:b/>
                <w:bCs/>
                <w:highlight w:val="yellow"/>
              </w:rPr>
            </w:pPr>
            <w:r w:rsidRPr="00B91A50">
              <w:rPr>
                <w:b/>
                <w:bCs/>
              </w:rPr>
              <w:t>6,351</w:t>
            </w:r>
          </w:p>
        </w:tc>
        <w:tc>
          <w:tcPr>
            <w:tcW w:w="2254" w:type="dxa"/>
            <w:vAlign w:val="center"/>
          </w:tcPr>
          <w:p w14:paraId="0378453A" w14:textId="2171ABD1" w:rsidR="008F02C3" w:rsidRPr="00B91A50" w:rsidRDefault="00B91A50" w:rsidP="008F02C3">
            <w:pPr>
              <w:spacing w:before="0" w:after="160" w:line="259" w:lineRule="auto"/>
              <w:rPr>
                <w:highlight w:val="yellow"/>
              </w:rPr>
            </w:pPr>
            <w:r w:rsidRPr="00B91A50">
              <w:t>107,629</w:t>
            </w:r>
          </w:p>
        </w:tc>
      </w:tr>
      <w:tr w:rsidR="008F02C3" w14:paraId="02445587" w14:textId="77777777" w:rsidTr="004452A5">
        <w:tc>
          <w:tcPr>
            <w:tcW w:w="3397" w:type="dxa"/>
          </w:tcPr>
          <w:p w14:paraId="10169D00" w14:textId="6E20839C" w:rsidR="008F02C3" w:rsidRPr="008F02C3" w:rsidRDefault="008F02C3" w:rsidP="008F02C3">
            <w:pPr>
              <w:pStyle w:val="Default"/>
              <w:rPr>
                <w:b/>
                <w:bCs/>
              </w:rPr>
            </w:pPr>
            <w:r w:rsidRPr="008F02C3">
              <w:rPr>
                <w:b/>
                <w:bCs/>
              </w:rPr>
              <w:t xml:space="preserve">Surplus/(deficit) from investing activities </w:t>
            </w:r>
          </w:p>
        </w:tc>
        <w:tc>
          <w:tcPr>
            <w:tcW w:w="1111" w:type="dxa"/>
          </w:tcPr>
          <w:p w14:paraId="4E91BAD4" w14:textId="77777777" w:rsidR="008F02C3" w:rsidRDefault="008F02C3" w:rsidP="008F02C3">
            <w:pPr>
              <w:spacing w:before="0" w:after="160" w:line="259" w:lineRule="auto"/>
            </w:pPr>
          </w:p>
        </w:tc>
        <w:tc>
          <w:tcPr>
            <w:tcW w:w="2254" w:type="dxa"/>
            <w:vAlign w:val="center"/>
          </w:tcPr>
          <w:p w14:paraId="47B928D6" w14:textId="23EC4EA8" w:rsidR="008F02C3" w:rsidRPr="008F02C3" w:rsidRDefault="00B91A50" w:rsidP="008F02C3">
            <w:pPr>
              <w:spacing w:before="0" w:after="160" w:line="259" w:lineRule="auto"/>
              <w:rPr>
                <w:b/>
                <w:bCs/>
              </w:rPr>
            </w:pPr>
            <w:r w:rsidRPr="00B91A50">
              <w:rPr>
                <w:b/>
                <w:bCs/>
              </w:rPr>
              <w:t>55,502</w:t>
            </w:r>
          </w:p>
        </w:tc>
        <w:tc>
          <w:tcPr>
            <w:tcW w:w="2254" w:type="dxa"/>
            <w:vAlign w:val="center"/>
          </w:tcPr>
          <w:p w14:paraId="25608112" w14:textId="3D9D820E" w:rsidR="008F02C3" w:rsidRDefault="002E7AC5" w:rsidP="008F02C3">
            <w:pPr>
              <w:spacing w:before="0" w:after="160" w:line="259" w:lineRule="auto"/>
            </w:pPr>
            <w:r w:rsidRPr="002E7AC5">
              <w:t>166,120</w:t>
            </w:r>
          </w:p>
        </w:tc>
      </w:tr>
      <w:tr w:rsidR="008F02C3" w14:paraId="1D2AAC4A" w14:textId="77777777" w:rsidTr="004452A5">
        <w:tc>
          <w:tcPr>
            <w:tcW w:w="3397" w:type="dxa"/>
          </w:tcPr>
          <w:p w14:paraId="419E39C6" w14:textId="5A2CD2DE" w:rsidR="008F02C3" w:rsidRPr="008F02C3" w:rsidRDefault="008F02C3" w:rsidP="008F02C3">
            <w:pPr>
              <w:pStyle w:val="Default"/>
              <w:rPr>
                <w:b/>
                <w:bCs/>
              </w:rPr>
            </w:pPr>
            <w:r w:rsidRPr="008F02C3">
              <w:rPr>
                <w:b/>
                <w:bCs/>
              </w:rPr>
              <w:t xml:space="preserve">Surplus/(deficit) for the year </w:t>
            </w:r>
          </w:p>
        </w:tc>
        <w:tc>
          <w:tcPr>
            <w:tcW w:w="1111" w:type="dxa"/>
          </w:tcPr>
          <w:p w14:paraId="6E1B3BD1" w14:textId="77777777" w:rsidR="008F02C3" w:rsidRDefault="008F02C3" w:rsidP="008F02C3">
            <w:pPr>
              <w:spacing w:before="0" w:after="160" w:line="259" w:lineRule="auto"/>
            </w:pPr>
          </w:p>
        </w:tc>
        <w:tc>
          <w:tcPr>
            <w:tcW w:w="2254" w:type="dxa"/>
            <w:vAlign w:val="center"/>
          </w:tcPr>
          <w:p w14:paraId="25D2A76E" w14:textId="3E13C202" w:rsidR="008F02C3" w:rsidRPr="008F02C3" w:rsidRDefault="00B91A50" w:rsidP="008F02C3">
            <w:pPr>
              <w:spacing w:before="0" w:after="160" w:line="259" w:lineRule="auto"/>
              <w:rPr>
                <w:b/>
                <w:bCs/>
              </w:rPr>
            </w:pPr>
            <w:r w:rsidRPr="00B91A50">
              <w:rPr>
                <w:b/>
                <w:bCs/>
              </w:rPr>
              <w:t>(90,095)</w:t>
            </w:r>
          </w:p>
        </w:tc>
        <w:tc>
          <w:tcPr>
            <w:tcW w:w="2254" w:type="dxa"/>
            <w:vAlign w:val="center"/>
          </w:tcPr>
          <w:p w14:paraId="1D6DED05" w14:textId="3B58327E" w:rsidR="008F02C3" w:rsidRDefault="002E7AC5" w:rsidP="008F02C3">
            <w:pPr>
              <w:spacing w:before="0" w:after="160" w:line="259" w:lineRule="auto"/>
            </w:pPr>
            <w:r w:rsidRPr="002E7AC5">
              <w:t>(53,424)</w:t>
            </w:r>
          </w:p>
        </w:tc>
      </w:tr>
      <w:tr w:rsidR="008F02C3" w14:paraId="1FC4F786" w14:textId="77777777" w:rsidTr="004452A5">
        <w:tc>
          <w:tcPr>
            <w:tcW w:w="3397" w:type="dxa"/>
          </w:tcPr>
          <w:p w14:paraId="026F7C3A" w14:textId="7E14B97B" w:rsidR="008F02C3" w:rsidRDefault="008F02C3" w:rsidP="008F02C3">
            <w:pPr>
              <w:pStyle w:val="Default"/>
            </w:pPr>
            <w:r>
              <w:t xml:space="preserve">Total comprehensive income for the year </w:t>
            </w:r>
          </w:p>
        </w:tc>
        <w:tc>
          <w:tcPr>
            <w:tcW w:w="1111" w:type="dxa"/>
          </w:tcPr>
          <w:p w14:paraId="09FD5DAB" w14:textId="77777777" w:rsidR="008F02C3" w:rsidRDefault="008F02C3" w:rsidP="008F02C3">
            <w:pPr>
              <w:spacing w:before="0" w:after="160" w:line="259" w:lineRule="auto"/>
            </w:pPr>
          </w:p>
        </w:tc>
        <w:tc>
          <w:tcPr>
            <w:tcW w:w="2254" w:type="dxa"/>
            <w:vAlign w:val="center"/>
          </w:tcPr>
          <w:p w14:paraId="57FF1D1F" w14:textId="68DEC1B1" w:rsidR="008F02C3" w:rsidRPr="008F02C3" w:rsidRDefault="00B91A50" w:rsidP="008F02C3">
            <w:pPr>
              <w:spacing w:before="0" w:after="160" w:line="259" w:lineRule="auto"/>
              <w:rPr>
                <w:b/>
                <w:bCs/>
              </w:rPr>
            </w:pPr>
            <w:r w:rsidRPr="00B91A50">
              <w:rPr>
                <w:b/>
                <w:bCs/>
              </w:rPr>
              <w:t>(90,095)</w:t>
            </w:r>
          </w:p>
        </w:tc>
        <w:tc>
          <w:tcPr>
            <w:tcW w:w="2254" w:type="dxa"/>
            <w:vAlign w:val="center"/>
          </w:tcPr>
          <w:p w14:paraId="710D2157" w14:textId="18A498A9" w:rsidR="008F02C3" w:rsidRDefault="002E7AC5" w:rsidP="008F02C3">
            <w:pPr>
              <w:spacing w:before="0" w:after="160" w:line="259" w:lineRule="auto"/>
            </w:pPr>
            <w:r w:rsidRPr="002E7AC5">
              <w:t>(53,424)</w:t>
            </w:r>
          </w:p>
        </w:tc>
      </w:tr>
    </w:tbl>
    <w:p w14:paraId="71EB1E20" w14:textId="77777777" w:rsidR="008F02C3" w:rsidRDefault="008F02C3" w:rsidP="00DE5A46">
      <w:pPr>
        <w:spacing w:before="0" w:after="160" w:line="259" w:lineRule="auto"/>
      </w:pPr>
    </w:p>
    <w:p w14:paraId="7D88C38E" w14:textId="77777777" w:rsidR="008F02C3" w:rsidRDefault="008F02C3" w:rsidP="00DE5A46">
      <w:pPr>
        <w:spacing w:before="0" w:after="160" w:line="259" w:lineRule="auto"/>
      </w:pPr>
    </w:p>
    <w:p w14:paraId="11D1A519" w14:textId="77777777" w:rsidR="008F02C3" w:rsidRDefault="008F02C3" w:rsidP="00DE5A46">
      <w:pPr>
        <w:spacing w:before="0" w:after="160" w:line="259" w:lineRule="auto"/>
      </w:pPr>
    </w:p>
    <w:p w14:paraId="6FE24324" w14:textId="77777777" w:rsidR="008F02C3" w:rsidRDefault="008F02C3" w:rsidP="00DE5A46">
      <w:pPr>
        <w:spacing w:before="0" w:after="160" w:line="259" w:lineRule="auto"/>
      </w:pPr>
    </w:p>
    <w:p w14:paraId="0A0D887F" w14:textId="77777777" w:rsidR="008F02C3" w:rsidRDefault="008F02C3" w:rsidP="00DE5A46">
      <w:pPr>
        <w:spacing w:before="0" w:after="160" w:line="259" w:lineRule="auto"/>
      </w:pPr>
    </w:p>
    <w:p w14:paraId="3FE673F6" w14:textId="77777777" w:rsidR="008F02C3" w:rsidRDefault="008F02C3" w:rsidP="00DE5A46">
      <w:pPr>
        <w:spacing w:before="0" w:after="160" w:line="259" w:lineRule="auto"/>
      </w:pPr>
    </w:p>
    <w:p w14:paraId="243CCF81" w14:textId="4CDC38F8" w:rsidR="00DA5C63" w:rsidRDefault="00DA5C63" w:rsidP="00DA5C63">
      <w:pPr>
        <w:pStyle w:val="Heading2"/>
      </w:pPr>
      <w:r w:rsidRPr="00DA5C63">
        <w:lastRenderedPageBreak/>
        <w:t>Statement of Financial Position</w:t>
      </w:r>
    </w:p>
    <w:tbl>
      <w:tblPr>
        <w:tblStyle w:val="TableGrid"/>
        <w:tblW w:w="0" w:type="auto"/>
        <w:tblLook w:val="04A0" w:firstRow="1" w:lastRow="0" w:firstColumn="1" w:lastColumn="0" w:noHBand="0" w:noVBand="1"/>
      </w:tblPr>
      <w:tblGrid>
        <w:gridCol w:w="3681"/>
        <w:gridCol w:w="827"/>
        <w:gridCol w:w="2254"/>
        <w:gridCol w:w="2254"/>
      </w:tblGrid>
      <w:tr w:rsidR="008F02C3" w14:paraId="7B2B1D80" w14:textId="77777777" w:rsidTr="008F02C3">
        <w:tc>
          <w:tcPr>
            <w:tcW w:w="3681" w:type="dxa"/>
          </w:tcPr>
          <w:p w14:paraId="74B8715A" w14:textId="6436C780" w:rsidR="008F02C3" w:rsidRPr="009E58B7" w:rsidRDefault="008F02C3" w:rsidP="009E58B7">
            <w:pPr>
              <w:pStyle w:val="NoSpacing"/>
              <w:rPr>
                <w:b/>
                <w:bCs/>
              </w:rPr>
            </w:pPr>
            <w:r w:rsidRPr="009E58B7">
              <w:rPr>
                <w:b/>
                <w:bCs/>
              </w:rPr>
              <w:t>ASSETS</w:t>
            </w:r>
          </w:p>
        </w:tc>
        <w:tc>
          <w:tcPr>
            <w:tcW w:w="827" w:type="dxa"/>
          </w:tcPr>
          <w:p w14:paraId="62E170F2" w14:textId="3825EF06" w:rsidR="008F02C3" w:rsidRPr="009E58B7" w:rsidRDefault="008F02C3" w:rsidP="009E58B7">
            <w:pPr>
              <w:pStyle w:val="NoSpacing"/>
              <w:rPr>
                <w:b/>
                <w:bCs/>
              </w:rPr>
            </w:pPr>
            <w:r w:rsidRPr="009E58B7">
              <w:rPr>
                <w:b/>
                <w:bCs/>
              </w:rPr>
              <w:t xml:space="preserve">Note </w:t>
            </w:r>
          </w:p>
        </w:tc>
        <w:tc>
          <w:tcPr>
            <w:tcW w:w="2254" w:type="dxa"/>
          </w:tcPr>
          <w:p w14:paraId="7DB6D970" w14:textId="3DDD739E" w:rsidR="008F02C3" w:rsidRPr="009E58B7" w:rsidRDefault="008F02C3" w:rsidP="009E58B7">
            <w:pPr>
              <w:pStyle w:val="NoSpacing"/>
              <w:rPr>
                <w:b/>
                <w:bCs/>
              </w:rPr>
            </w:pPr>
            <w:r w:rsidRPr="009E58B7">
              <w:rPr>
                <w:b/>
                <w:bCs/>
              </w:rPr>
              <w:t>202</w:t>
            </w:r>
            <w:r w:rsidR="00622029">
              <w:rPr>
                <w:b/>
                <w:bCs/>
              </w:rPr>
              <w:t>5</w:t>
            </w:r>
            <w:r w:rsidRPr="009E58B7">
              <w:rPr>
                <w:b/>
                <w:bCs/>
              </w:rPr>
              <w:t xml:space="preserve"> $ </w:t>
            </w:r>
          </w:p>
        </w:tc>
        <w:tc>
          <w:tcPr>
            <w:tcW w:w="2254" w:type="dxa"/>
          </w:tcPr>
          <w:p w14:paraId="6AC0A29C" w14:textId="3EAD288B" w:rsidR="008F02C3" w:rsidRPr="009E58B7" w:rsidRDefault="008F02C3" w:rsidP="009E58B7">
            <w:pPr>
              <w:pStyle w:val="NoSpacing"/>
              <w:rPr>
                <w:b/>
                <w:bCs/>
              </w:rPr>
            </w:pPr>
            <w:r w:rsidRPr="009E58B7">
              <w:rPr>
                <w:b/>
                <w:bCs/>
              </w:rPr>
              <w:t>202</w:t>
            </w:r>
            <w:r w:rsidR="00622029">
              <w:rPr>
                <w:b/>
                <w:bCs/>
              </w:rPr>
              <w:t>4</w:t>
            </w:r>
            <w:r w:rsidRPr="009E58B7">
              <w:rPr>
                <w:b/>
                <w:bCs/>
              </w:rPr>
              <w:t xml:space="preserve"> $ </w:t>
            </w:r>
          </w:p>
        </w:tc>
      </w:tr>
      <w:tr w:rsidR="007A26FC" w14:paraId="31E02389" w14:textId="77777777" w:rsidTr="00CA57E4">
        <w:tc>
          <w:tcPr>
            <w:tcW w:w="9016" w:type="dxa"/>
            <w:gridSpan w:val="4"/>
          </w:tcPr>
          <w:p w14:paraId="15928AB6" w14:textId="04AEFD60" w:rsidR="007A26FC" w:rsidRDefault="007A26FC" w:rsidP="009E58B7">
            <w:pPr>
              <w:pStyle w:val="NoSpacing"/>
              <w:spacing w:line="240" w:lineRule="auto"/>
            </w:pPr>
            <w:r>
              <w:t xml:space="preserve">CURRENT ASSETS </w:t>
            </w:r>
          </w:p>
        </w:tc>
      </w:tr>
      <w:tr w:rsidR="00B35950" w14:paraId="60073EB2" w14:textId="77777777" w:rsidTr="009E58B7">
        <w:tc>
          <w:tcPr>
            <w:tcW w:w="3681" w:type="dxa"/>
          </w:tcPr>
          <w:p w14:paraId="7EC01A2E" w14:textId="19411B73" w:rsidR="00B35950" w:rsidRDefault="00B35950" w:rsidP="00B35950">
            <w:pPr>
              <w:pStyle w:val="NoSpacing"/>
              <w:spacing w:line="240" w:lineRule="auto"/>
            </w:pPr>
            <w:r>
              <w:t xml:space="preserve">Cash and cash equivalents </w:t>
            </w:r>
          </w:p>
        </w:tc>
        <w:tc>
          <w:tcPr>
            <w:tcW w:w="827" w:type="dxa"/>
          </w:tcPr>
          <w:p w14:paraId="2AB947A1" w14:textId="53CE4EE1" w:rsidR="00B35950" w:rsidRDefault="00B35950" w:rsidP="00B35950">
            <w:pPr>
              <w:pStyle w:val="NoSpacing"/>
              <w:spacing w:line="240" w:lineRule="auto"/>
            </w:pPr>
            <w:r>
              <w:t>6</w:t>
            </w:r>
          </w:p>
        </w:tc>
        <w:tc>
          <w:tcPr>
            <w:tcW w:w="2254" w:type="dxa"/>
          </w:tcPr>
          <w:p w14:paraId="20FDBB24" w14:textId="2F98464B" w:rsidR="00B35950" w:rsidRDefault="00B35950" w:rsidP="00B35950">
            <w:pPr>
              <w:pStyle w:val="NoSpacing"/>
              <w:spacing w:line="240" w:lineRule="auto"/>
            </w:pPr>
            <w:r w:rsidRPr="00B35950">
              <w:t>803,862</w:t>
            </w:r>
          </w:p>
        </w:tc>
        <w:tc>
          <w:tcPr>
            <w:tcW w:w="2254" w:type="dxa"/>
          </w:tcPr>
          <w:p w14:paraId="41010AC7" w14:textId="13B78110" w:rsidR="00B35950" w:rsidRDefault="00B35950" w:rsidP="00B35950">
            <w:pPr>
              <w:pStyle w:val="NoSpacing"/>
              <w:spacing w:line="240" w:lineRule="auto"/>
            </w:pPr>
            <w:r>
              <w:t xml:space="preserve">815,676 </w:t>
            </w:r>
          </w:p>
        </w:tc>
      </w:tr>
      <w:tr w:rsidR="00B35950" w14:paraId="1C526BC2" w14:textId="77777777" w:rsidTr="009E58B7">
        <w:trPr>
          <w:trHeight w:val="331"/>
        </w:trPr>
        <w:tc>
          <w:tcPr>
            <w:tcW w:w="3681" w:type="dxa"/>
          </w:tcPr>
          <w:p w14:paraId="10FD1AAB" w14:textId="33C20484" w:rsidR="00B35950" w:rsidRDefault="00B35950" w:rsidP="00B35950">
            <w:pPr>
              <w:pStyle w:val="NoSpacing"/>
              <w:spacing w:line="240" w:lineRule="auto"/>
            </w:pPr>
            <w:r>
              <w:t xml:space="preserve">Trade and other receivables </w:t>
            </w:r>
          </w:p>
        </w:tc>
        <w:tc>
          <w:tcPr>
            <w:tcW w:w="827" w:type="dxa"/>
          </w:tcPr>
          <w:p w14:paraId="58F4CA17" w14:textId="1EE8DB24" w:rsidR="00B35950" w:rsidRDefault="00B35950" w:rsidP="00B35950">
            <w:pPr>
              <w:pStyle w:val="NoSpacing"/>
              <w:spacing w:line="240" w:lineRule="auto"/>
            </w:pPr>
            <w:r>
              <w:t>7</w:t>
            </w:r>
          </w:p>
        </w:tc>
        <w:tc>
          <w:tcPr>
            <w:tcW w:w="2254" w:type="dxa"/>
          </w:tcPr>
          <w:p w14:paraId="41F9C87F" w14:textId="25CEFF9C" w:rsidR="00B35950" w:rsidRDefault="00B35950" w:rsidP="00B35950">
            <w:pPr>
              <w:pStyle w:val="NoSpacing"/>
              <w:spacing w:line="240" w:lineRule="auto"/>
            </w:pPr>
            <w:r w:rsidRPr="00B35950">
              <w:t>91,284</w:t>
            </w:r>
          </w:p>
        </w:tc>
        <w:tc>
          <w:tcPr>
            <w:tcW w:w="2254" w:type="dxa"/>
          </w:tcPr>
          <w:p w14:paraId="268D7872" w14:textId="608FF295" w:rsidR="00B35950" w:rsidRDefault="00B35950" w:rsidP="00B35950">
            <w:pPr>
              <w:pStyle w:val="NoSpacing"/>
              <w:spacing w:line="240" w:lineRule="auto"/>
            </w:pPr>
            <w:r>
              <w:t xml:space="preserve">140,919 </w:t>
            </w:r>
          </w:p>
        </w:tc>
      </w:tr>
      <w:tr w:rsidR="00B35950" w14:paraId="55AAFD84" w14:textId="77777777" w:rsidTr="009E58B7">
        <w:trPr>
          <w:trHeight w:val="279"/>
        </w:trPr>
        <w:tc>
          <w:tcPr>
            <w:tcW w:w="3681" w:type="dxa"/>
          </w:tcPr>
          <w:p w14:paraId="20FCA9C0" w14:textId="2B5FD0F8" w:rsidR="00B35950" w:rsidRDefault="00B35950" w:rsidP="00B35950">
            <w:pPr>
              <w:pStyle w:val="NoSpacing"/>
              <w:spacing w:line="240" w:lineRule="auto"/>
            </w:pPr>
            <w:r>
              <w:t>Other assets</w:t>
            </w:r>
          </w:p>
        </w:tc>
        <w:tc>
          <w:tcPr>
            <w:tcW w:w="827" w:type="dxa"/>
          </w:tcPr>
          <w:p w14:paraId="1808EE0A" w14:textId="662BA767" w:rsidR="00B35950" w:rsidRDefault="00B35950" w:rsidP="00B35950">
            <w:pPr>
              <w:pStyle w:val="NoSpacing"/>
              <w:spacing w:line="240" w:lineRule="auto"/>
            </w:pPr>
            <w:r>
              <w:t>8</w:t>
            </w:r>
          </w:p>
        </w:tc>
        <w:tc>
          <w:tcPr>
            <w:tcW w:w="2254" w:type="dxa"/>
          </w:tcPr>
          <w:p w14:paraId="29A0AD75" w14:textId="5EAF4C55" w:rsidR="00B35950" w:rsidRDefault="00B35950" w:rsidP="00B35950">
            <w:pPr>
              <w:pStyle w:val="NoSpacing"/>
              <w:spacing w:line="240" w:lineRule="auto"/>
            </w:pPr>
            <w:r w:rsidRPr="00B35950">
              <w:t>40,874</w:t>
            </w:r>
          </w:p>
        </w:tc>
        <w:tc>
          <w:tcPr>
            <w:tcW w:w="2254" w:type="dxa"/>
          </w:tcPr>
          <w:p w14:paraId="142B2159" w14:textId="5436CF31" w:rsidR="00B35950" w:rsidRDefault="00B35950" w:rsidP="00B35950">
            <w:pPr>
              <w:pStyle w:val="NoSpacing"/>
              <w:spacing w:line="240" w:lineRule="auto"/>
            </w:pPr>
            <w:r>
              <w:t xml:space="preserve">35,090 </w:t>
            </w:r>
          </w:p>
        </w:tc>
      </w:tr>
      <w:tr w:rsidR="00B35950" w14:paraId="63DADE3E" w14:textId="77777777" w:rsidTr="009E58B7">
        <w:trPr>
          <w:trHeight w:val="568"/>
        </w:trPr>
        <w:tc>
          <w:tcPr>
            <w:tcW w:w="3681" w:type="dxa"/>
          </w:tcPr>
          <w:p w14:paraId="1BCC94E9" w14:textId="35C3DAB3" w:rsidR="00B35950" w:rsidRDefault="00B35950" w:rsidP="00B35950">
            <w:pPr>
              <w:pStyle w:val="NoSpacing"/>
              <w:spacing w:line="240" w:lineRule="auto"/>
            </w:pPr>
            <w:r>
              <w:t>TOTAL CURRENT ASSETS</w:t>
            </w:r>
          </w:p>
        </w:tc>
        <w:tc>
          <w:tcPr>
            <w:tcW w:w="827" w:type="dxa"/>
          </w:tcPr>
          <w:p w14:paraId="12796DF6" w14:textId="77777777" w:rsidR="00B35950" w:rsidRDefault="00B35950" w:rsidP="00B35950">
            <w:pPr>
              <w:pStyle w:val="NoSpacing"/>
              <w:spacing w:line="240" w:lineRule="auto"/>
            </w:pPr>
          </w:p>
        </w:tc>
        <w:tc>
          <w:tcPr>
            <w:tcW w:w="2254" w:type="dxa"/>
          </w:tcPr>
          <w:p w14:paraId="577C3C80" w14:textId="06AA038A" w:rsidR="00B35950" w:rsidRDefault="00B35950" w:rsidP="00B35950">
            <w:pPr>
              <w:pStyle w:val="NoSpacing"/>
              <w:spacing w:line="240" w:lineRule="auto"/>
            </w:pPr>
            <w:r w:rsidRPr="00B35950">
              <w:t>936,020</w:t>
            </w:r>
          </w:p>
        </w:tc>
        <w:tc>
          <w:tcPr>
            <w:tcW w:w="2254" w:type="dxa"/>
          </w:tcPr>
          <w:p w14:paraId="5429D4F0" w14:textId="773AFDA5" w:rsidR="00B35950" w:rsidRDefault="00B35950" w:rsidP="00B35950">
            <w:pPr>
              <w:pStyle w:val="NoSpacing"/>
              <w:spacing w:line="240" w:lineRule="auto"/>
            </w:pPr>
            <w:r>
              <w:t xml:space="preserve">991,685 </w:t>
            </w:r>
          </w:p>
        </w:tc>
      </w:tr>
      <w:tr w:rsidR="00B35950" w14:paraId="355141F3" w14:textId="77777777" w:rsidTr="009E58B7">
        <w:tc>
          <w:tcPr>
            <w:tcW w:w="3681" w:type="dxa"/>
          </w:tcPr>
          <w:p w14:paraId="1EA55ADD" w14:textId="0C12F9DE" w:rsidR="00B35950" w:rsidRDefault="00B35950" w:rsidP="00B35950">
            <w:pPr>
              <w:pStyle w:val="NoSpacing"/>
              <w:spacing w:line="240" w:lineRule="auto"/>
            </w:pPr>
            <w:r>
              <w:t xml:space="preserve">NON-CURRENT ASSETS </w:t>
            </w:r>
          </w:p>
        </w:tc>
        <w:tc>
          <w:tcPr>
            <w:tcW w:w="827" w:type="dxa"/>
          </w:tcPr>
          <w:p w14:paraId="489B821D" w14:textId="77777777" w:rsidR="00B35950" w:rsidRDefault="00B35950" w:rsidP="00B35950">
            <w:pPr>
              <w:pStyle w:val="NoSpacing"/>
              <w:spacing w:line="240" w:lineRule="auto"/>
            </w:pPr>
          </w:p>
        </w:tc>
        <w:tc>
          <w:tcPr>
            <w:tcW w:w="2254" w:type="dxa"/>
          </w:tcPr>
          <w:p w14:paraId="10DB645C" w14:textId="77777777" w:rsidR="00B35950" w:rsidRDefault="00B35950" w:rsidP="00B35950">
            <w:pPr>
              <w:pStyle w:val="NoSpacing"/>
              <w:spacing w:line="240" w:lineRule="auto"/>
            </w:pPr>
          </w:p>
        </w:tc>
        <w:tc>
          <w:tcPr>
            <w:tcW w:w="2254" w:type="dxa"/>
          </w:tcPr>
          <w:p w14:paraId="4BA5DE62" w14:textId="77777777" w:rsidR="00B35950" w:rsidRDefault="00B35950" w:rsidP="00B35950">
            <w:pPr>
              <w:pStyle w:val="NoSpacing"/>
              <w:spacing w:line="240" w:lineRule="auto"/>
            </w:pPr>
          </w:p>
        </w:tc>
      </w:tr>
      <w:tr w:rsidR="00B35950" w14:paraId="4EE7307B" w14:textId="77777777" w:rsidTr="009E58B7">
        <w:tc>
          <w:tcPr>
            <w:tcW w:w="3681" w:type="dxa"/>
          </w:tcPr>
          <w:p w14:paraId="22D46A83" w14:textId="7F08B4F4" w:rsidR="00B35950" w:rsidRDefault="00B35950" w:rsidP="00B35950">
            <w:pPr>
              <w:pStyle w:val="NoSpacing"/>
              <w:spacing w:line="240" w:lineRule="auto"/>
            </w:pPr>
            <w:r>
              <w:t xml:space="preserve">Other financial assets </w:t>
            </w:r>
          </w:p>
        </w:tc>
        <w:tc>
          <w:tcPr>
            <w:tcW w:w="827" w:type="dxa"/>
          </w:tcPr>
          <w:p w14:paraId="4A06E082" w14:textId="394EC8DF" w:rsidR="00B35950" w:rsidRDefault="00B35950" w:rsidP="00B35950">
            <w:pPr>
              <w:pStyle w:val="NoSpacing"/>
              <w:spacing w:line="240" w:lineRule="auto"/>
            </w:pPr>
            <w:r>
              <w:t>9</w:t>
            </w:r>
          </w:p>
        </w:tc>
        <w:tc>
          <w:tcPr>
            <w:tcW w:w="2254" w:type="dxa"/>
          </w:tcPr>
          <w:p w14:paraId="04DFA88E" w14:textId="36FCFC33" w:rsidR="00B35950" w:rsidRDefault="00B35950" w:rsidP="00B35950">
            <w:pPr>
              <w:pStyle w:val="NoSpacing"/>
              <w:spacing w:line="240" w:lineRule="auto"/>
            </w:pPr>
            <w:r w:rsidRPr="00B35950">
              <w:t>1,207,354</w:t>
            </w:r>
          </w:p>
        </w:tc>
        <w:tc>
          <w:tcPr>
            <w:tcW w:w="2254" w:type="dxa"/>
          </w:tcPr>
          <w:p w14:paraId="13521473" w14:textId="7C6BABFB" w:rsidR="00B35950" w:rsidRDefault="00B35950" w:rsidP="00B35950">
            <w:pPr>
              <w:pStyle w:val="NoSpacing"/>
              <w:spacing w:line="240" w:lineRule="auto"/>
            </w:pPr>
            <w:r>
              <w:t xml:space="preserve">1,218,369 </w:t>
            </w:r>
          </w:p>
        </w:tc>
      </w:tr>
      <w:tr w:rsidR="00B35950" w14:paraId="6A3765D2" w14:textId="77777777" w:rsidTr="009E58B7">
        <w:tc>
          <w:tcPr>
            <w:tcW w:w="3681" w:type="dxa"/>
          </w:tcPr>
          <w:p w14:paraId="137078A5" w14:textId="18653E03" w:rsidR="00B35950" w:rsidRDefault="00B35950" w:rsidP="00B35950">
            <w:pPr>
              <w:pStyle w:val="NoSpacing"/>
              <w:spacing w:line="240" w:lineRule="auto"/>
            </w:pPr>
            <w:r>
              <w:t xml:space="preserve">Plant and equipment </w:t>
            </w:r>
          </w:p>
        </w:tc>
        <w:tc>
          <w:tcPr>
            <w:tcW w:w="827" w:type="dxa"/>
          </w:tcPr>
          <w:p w14:paraId="5CD113E0" w14:textId="1F9D2AA9" w:rsidR="00B35950" w:rsidRDefault="00B35950" w:rsidP="00B35950">
            <w:pPr>
              <w:pStyle w:val="NoSpacing"/>
              <w:spacing w:line="240" w:lineRule="auto"/>
            </w:pPr>
            <w:r>
              <w:t>10</w:t>
            </w:r>
          </w:p>
        </w:tc>
        <w:tc>
          <w:tcPr>
            <w:tcW w:w="2254" w:type="dxa"/>
          </w:tcPr>
          <w:p w14:paraId="5BF47295" w14:textId="4436E7CF" w:rsidR="00B35950" w:rsidRDefault="00B35950" w:rsidP="00B35950">
            <w:pPr>
              <w:pStyle w:val="NoSpacing"/>
              <w:spacing w:line="240" w:lineRule="auto"/>
            </w:pPr>
            <w:r w:rsidRPr="00B35950">
              <w:t>28,066</w:t>
            </w:r>
          </w:p>
        </w:tc>
        <w:tc>
          <w:tcPr>
            <w:tcW w:w="2254" w:type="dxa"/>
          </w:tcPr>
          <w:p w14:paraId="4BDCA1C8" w14:textId="4236180E" w:rsidR="00B35950" w:rsidRDefault="00B35950" w:rsidP="00B35950">
            <w:pPr>
              <w:pStyle w:val="NoSpacing"/>
              <w:spacing w:line="240" w:lineRule="auto"/>
            </w:pPr>
            <w:r>
              <w:t xml:space="preserve">16,740 </w:t>
            </w:r>
          </w:p>
        </w:tc>
      </w:tr>
      <w:tr w:rsidR="00B35950" w14:paraId="45C7AAD4" w14:textId="77777777" w:rsidTr="009E58B7">
        <w:tc>
          <w:tcPr>
            <w:tcW w:w="3681" w:type="dxa"/>
          </w:tcPr>
          <w:p w14:paraId="545C51AA" w14:textId="76E70986" w:rsidR="00B35950" w:rsidRDefault="00B35950" w:rsidP="00B35950">
            <w:pPr>
              <w:pStyle w:val="NoSpacing"/>
              <w:spacing w:line="240" w:lineRule="auto"/>
            </w:pPr>
            <w:r>
              <w:t xml:space="preserve">Intangible assets </w:t>
            </w:r>
          </w:p>
        </w:tc>
        <w:tc>
          <w:tcPr>
            <w:tcW w:w="827" w:type="dxa"/>
          </w:tcPr>
          <w:p w14:paraId="74B5B667" w14:textId="7396E33C" w:rsidR="00B35950" w:rsidRDefault="00B35950" w:rsidP="00B35950">
            <w:pPr>
              <w:pStyle w:val="NoSpacing"/>
              <w:spacing w:line="240" w:lineRule="auto"/>
            </w:pPr>
            <w:r>
              <w:t>11</w:t>
            </w:r>
          </w:p>
        </w:tc>
        <w:tc>
          <w:tcPr>
            <w:tcW w:w="2254" w:type="dxa"/>
          </w:tcPr>
          <w:p w14:paraId="7A2390D7" w14:textId="6EEC85B9" w:rsidR="00B35950" w:rsidRDefault="00B35950" w:rsidP="00B35950">
            <w:pPr>
              <w:pStyle w:val="NoSpacing"/>
              <w:spacing w:line="240" w:lineRule="auto"/>
            </w:pPr>
            <w:r>
              <w:t xml:space="preserve">- </w:t>
            </w:r>
          </w:p>
        </w:tc>
        <w:tc>
          <w:tcPr>
            <w:tcW w:w="2254" w:type="dxa"/>
          </w:tcPr>
          <w:p w14:paraId="41787906" w14:textId="7B22BE9F" w:rsidR="00B35950" w:rsidRDefault="00B35950" w:rsidP="00B35950">
            <w:pPr>
              <w:pStyle w:val="NoSpacing"/>
              <w:spacing w:line="240" w:lineRule="auto"/>
            </w:pPr>
            <w:r>
              <w:t xml:space="preserve">4,863 </w:t>
            </w:r>
          </w:p>
        </w:tc>
      </w:tr>
      <w:tr w:rsidR="00B35950" w14:paraId="4A5D5041" w14:textId="77777777" w:rsidTr="009E58B7">
        <w:tc>
          <w:tcPr>
            <w:tcW w:w="3681" w:type="dxa"/>
          </w:tcPr>
          <w:p w14:paraId="63FAB0BA" w14:textId="61D6683F" w:rsidR="00B35950" w:rsidRDefault="00B35950" w:rsidP="00B35950">
            <w:pPr>
              <w:pStyle w:val="NoSpacing"/>
              <w:spacing w:line="240" w:lineRule="auto"/>
            </w:pPr>
            <w:r>
              <w:t xml:space="preserve">TOTAL NON-CURRENT ASSETS </w:t>
            </w:r>
          </w:p>
        </w:tc>
        <w:tc>
          <w:tcPr>
            <w:tcW w:w="827" w:type="dxa"/>
          </w:tcPr>
          <w:p w14:paraId="235AB45A" w14:textId="77777777" w:rsidR="00B35950" w:rsidRDefault="00B35950" w:rsidP="00B35950">
            <w:pPr>
              <w:pStyle w:val="NoSpacing"/>
              <w:spacing w:line="240" w:lineRule="auto"/>
            </w:pPr>
          </w:p>
        </w:tc>
        <w:tc>
          <w:tcPr>
            <w:tcW w:w="2254" w:type="dxa"/>
          </w:tcPr>
          <w:p w14:paraId="69C59FEF" w14:textId="7AE9A481" w:rsidR="00B35950" w:rsidRDefault="00B35950" w:rsidP="00B35950">
            <w:pPr>
              <w:pStyle w:val="NoSpacing"/>
              <w:spacing w:line="240" w:lineRule="auto"/>
            </w:pPr>
            <w:r w:rsidRPr="00B35950">
              <w:t>1,235,420</w:t>
            </w:r>
          </w:p>
        </w:tc>
        <w:tc>
          <w:tcPr>
            <w:tcW w:w="2254" w:type="dxa"/>
          </w:tcPr>
          <w:p w14:paraId="5D95795A" w14:textId="144E443F" w:rsidR="00B35950" w:rsidRDefault="00B35950" w:rsidP="00B35950">
            <w:pPr>
              <w:pStyle w:val="NoSpacing"/>
              <w:spacing w:line="240" w:lineRule="auto"/>
            </w:pPr>
            <w:r>
              <w:t xml:space="preserve">1,239,972 </w:t>
            </w:r>
          </w:p>
        </w:tc>
      </w:tr>
      <w:tr w:rsidR="00B35950" w14:paraId="5F4DB3C6" w14:textId="77777777" w:rsidTr="009E58B7">
        <w:tc>
          <w:tcPr>
            <w:tcW w:w="3681" w:type="dxa"/>
          </w:tcPr>
          <w:p w14:paraId="6A4A2644" w14:textId="6A8A972C" w:rsidR="00B35950" w:rsidRDefault="00B35950" w:rsidP="00B35950">
            <w:pPr>
              <w:pStyle w:val="NoSpacing"/>
              <w:spacing w:line="240" w:lineRule="auto"/>
            </w:pPr>
            <w:r>
              <w:t>TOTAL ASSETS</w:t>
            </w:r>
          </w:p>
        </w:tc>
        <w:tc>
          <w:tcPr>
            <w:tcW w:w="827" w:type="dxa"/>
          </w:tcPr>
          <w:p w14:paraId="39AAFE02" w14:textId="77777777" w:rsidR="00B35950" w:rsidRDefault="00B35950" w:rsidP="00B35950">
            <w:pPr>
              <w:pStyle w:val="NoSpacing"/>
              <w:spacing w:line="240" w:lineRule="auto"/>
            </w:pPr>
          </w:p>
        </w:tc>
        <w:tc>
          <w:tcPr>
            <w:tcW w:w="2254" w:type="dxa"/>
          </w:tcPr>
          <w:p w14:paraId="6FDF5D81" w14:textId="66F8859E" w:rsidR="00B35950" w:rsidRPr="009B7C27" w:rsidRDefault="009B7C27" w:rsidP="00B35950">
            <w:pPr>
              <w:pStyle w:val="NoSpacing"/>
              <w:spacing w:line="240" w:lineRule="auto"/>
            </w:pPr>
            <w:r w:rsidRPr="009B7C27">
              <w:t>2,171,440</w:t>
            </w:r>
          </w:p>
        </w:tc>
        <w:tc>
          <w:tcPr>
            <w:tcW w:w="2254" w:type="dxa"/>
          </w:tcPr>
          <w:p w14:paraId="67130257" w14:textId="33F3D920" w:rsidR="00B35950" w:rsidRDefault="00B35950" w:rsidP="00B35950">
            <w:pPr>
              <w:pStyle w:val="NoSpacing"/>
              <w:spacing w:line="240" w:lineRule="auto"/>
            </w:pPr>
            <w:r>
              <w:t xml:space="preserve">2,231,657 </w:t>
            </w:r>
          </w:p>
        </w:tc>
      </w:tr>
    </w:tbl>
    <w:p w14:paraId="56DBD638" w14:textId="77777777" w:rsidR="00DA5C63" w:rsidRDefault="00DA5C63" w:rsidP="009E58B7">
      <w:pPr>
        <w:pStyle w:val="NoSpacing"/>
      </w:pPr>
    </w:p>
    <w:tbl>
      <w:tblPr>
        <w:tblStyle w:val="TableGrid"/>
        <w:tblW w:w="0" w:type="auto"/>
        <w:tblLook w:val="04A0" w:firstRow="1" w:lastRow="0" w:firstColumn="1" w:lastColumn="0" w:noHBand="0" w:noVBand="1"/>
      </w:tblPr>
      <w:tblGrid>
        <w:gridCol w:w="3681"/>
        <w:gridCol w:w="827"/>
        <w:gridCol w:w="2254"/>
        <w:gridCol w:w="2254"/>
      </w:tblGrid>
      <w:tr w:rsidR="009E58B7" w14:paraId="496B4454" w14:textId="77777777" w:rsidTr="009E58B7">
        <w:tc>
          <w:tcPr>
            <w:tcW w:w="3681" w:type="dxa"/>
          </w:tcPr>
          <w:p w14:paraId="026DFB5D" w14:textId="1D9FF54C" w:rsidR="009E58B7" w:rsidRPr="009E58B7" w:rsidRDefault="009E58B7" w:rsidP="009E58B7">
            <w:pPr>
              <w:pStyle w:val="Default"/>
              <w:rPr>
                <w:b/>
                <w:bCs/>
              </w:rPr>
            </w:pPr>
            <w:r w:rsidRPr="009E58B7">
              <w:rPr>
                <w:b/>
                <w:bCs/>
              </w:rPr>
              <w:t xml:space="preserve">LIABILITIES </w:t>
            </w:r>
          </w:p>
        </w:tc>
        <w:tc>
          <w:tcPr>
            <w:tcW w:w="827" w:type="dxa"/>
          </w:tcPr>
          <w:p w14:paraId="5050C55F" w14:textId="44FF5057" w:rsidR="009E58B7" w:rsidRPr="009E58B7" w:rsidRDefault="009E58B7" w:rsidP="009E58B7">
            <w:pPr>
              <w:spacing w:before="0" w:after="160" w:line="240" w:lineRule="auto"/>
              <w:rPr>
                <w:b/>
                <w:bCs/>
              </w:rPr>
            </w:pPr>
            <w:r w:rsidRPr="009E58B7">
              <w:rPr>
                <w:b/>
                <w:bCs/>
              </w:rPr>
              <w:t>Note</w:t>
            </w:r>
          </w:p>
        </w:tc>
        <w:tc>
          <w:tcPr>
            <w:tcW w:w="2254" w:type="dxa"/>
          </w:tcPr>
          <w:p w14:paraId="45B0BC42" w14:textId="36D2460B" w:rsidR="009E58B7" w:rsidRDefault="009E58B7" w:rsidP="009E58B7">
            <w:pPr>
              <w:spacing w:before="0" w:after="160" w:line="240" w:lineRule="auto"/>
            </w:pPr>
            <w:r w:rsidRPr="009E58B7">
              <w:rPr>
                <w:b/>
                <w:bCs/>
              </w:rPr>
              <w:t>202</w:t>
            </w:r>
            <w:r w:rsidR="0008110C">
              <w:rPr>
                <w:b/>
                <w:bCs/>
              </w:rPr>
              <w:t>5</w:t>
            </w:r>
            <w:r w:rsidRPr="009E58B7">
              <w:rPr>
                <w:b/>
                <w:bCs/>
              </w:rPr>
              <w:t xml:space="preserve"> $ </w:t>
            </w:r>
          </w:p>
        </w:tc>
        <w:tc>
          <w:tcPr>
            <w:tcW w:w="2254" w:type="dxa"/>
          </w:tcPr>
          <w:p w14:paraId="28330C4A" w14:textId="1574660F" w:rsidR="009E58B7" w:rsidRDefault="009E58B7" w:rsidP="009E58B7">
            <w:pPr>
              <w:spacing w:before="0" w:after="160" w:line="240" w:lineRule="auto"/>
            </w:pPr>
            <w:r w:rsidRPr="009E58B7">
              <w:rPr>
                <w:b/>
                <w:bCs/>
              </w:rPr>
              <w:t>202</w:t>
            </w:r>
            <w:r w:rsidR="0008110C">
              <w:rPr>
                <w:b/>
                <w:bCs/>
              </w:rPr>
              <w:t>4</w:t>
            </w:r>
            <w:r w:rsidRPr="009E58B7">
              <w:rPr>
                <w:b/>
                <w:bCs/>
              </w:rPr>
              <w:t xml:space="preserve"> $ </w:t>
            </w:r>
          </w:p>
        </w:tc>
      </w:tr>
      <w:tr w:rsidR="007A26FC" w14:paraId="140A92C1" w14:textId="77777777" w:rsidTr="00B25194">
        <w:tc>
          <w:tcPr>
            <w:tcW w:w="9016" w:type="dxa"/>
            <w:gridSpan w:val="4"/>
          </w:tcPr>
          <w:p w14:paraId="220E2768" w14:textId="50636B02" w:rsidR="007A26FC" w:rsidRDefault="007A26FC" w:rsidP="009E58B7">
            <w:pPr>
              <w:spacing w:before="0" w:after="160" w:line="240" w:lineRule="auto"/>
            </w:pPr>
            <w:r>
              <w:t xml:space="preserve">CURRENT LIABILITIES </w:t>
            </w:r>
          </w:p>
        </w:tc>
      </w:tr>
      <w:tr w:rsidR="009E58B7" w14:paraId="79DA6D06" w14:textId="77777777" w:rsidTr="009E58B7">
        <w:tc>
          <w:tcPr>
            <w:tcW w:w="3681" w:type="dxa"/>
          </w:tcPr>
          <w:p w14:paraId="74ACC503" w14:textId="3F77F357" w:rsidR="009E58B7" w:rsidRDefault="009E58B7" w:rsidP="009E58B7">
            <w:pPr>
              <w:pStyle w:val="Default"/>
            </w:pPr>
            <w:r>
              <w:t xml:space="preserve">Trade and other payables </w:t>
            </w:r>
          </w:p>
        </w:tc>
        <w:tc>
          <w:tcPr>
            <w:tcW w:w="827" w:type="dxa"/>
          </w:tcPr>
          <w:p w14:paraId="230EE832" w14:textId="6F18E450" w:rsidR="009E58B7" w:rsidRDefault="009E58B7" w:rsidP="009E58B7">
            <w:pPr>
              <w:spacing w:before="0" w:after="160" w:line="240" w:lineRule="auto"/>
            </w:pPr>
            <w:r>
              <w:t>1</w:t>
            </w:r>
            <w:r w:rsidR="0008110C">
              <w:t>2</w:t>
            </w:r>
          </w:p>
        </w:tc>
        <w:tc>
          <w:tcPr>
            <w:tcW w:w="2254" w:type="dxa"/>
          </w:tcPr>
          <w:p w14:paraId="0DEE936B" w14:textId="40F0BA1F" w:rsidR="009E58B7" w:rsidRDefault="009E58B7" w:rsidP="009E58B7">
            <w:pPr>
              <w:spacing w:before="0" w:after="160" w:line="240" w:lineRule="auto"/>
            </w:pPr>
            <w:r>
              <w:t xml:space="preserve">140,667 </w:t>
            </w:r>
          </w:p>
        </w:tc>
        <w:tc>
          <w:tcPr>
            <w:tcW w:w="2254" w:type="dxa"/>
          </w:tcPr>
          <w:p w14:paraId="149A2DC4" w14:textId="0E48580F" w:rsidR="009E58B7" w:rsidRDefault="0008110C" w:rsidP="009E58B7">
            <w:pPr>
              <w:spacing w:before="0" w:after="160" w:line="240" w:lineRule="auto"/>
            </w:pPr>
            <w:r w:rsidRPr="0008110C">
              <w:t>140,667</w:t>
            </w:r>
          </w:p>
        </w:tc>
      </w:tr>
      <w:tr w:rsidR="009E58B7" w14:paraId="06C22439" w14:textId="77777777" w:rsidTr="009E58B7">
        <w:tc>
          <w:tcPr>
            <w:tcW w:w="3681" w:type="dxa"/>
          </w:tcPr>
          <w:p w14:paraId="4A834EE3" w14:textId="31FAB616" w:rsidR="009E58B7" w:rsidRDefault="009E58B7" w:rsidP="009E58B7">
            <w:pPr>
              <w:pStyle w:val="Default"/>
            </w:pPr>
            <w:r>
              <w:t xml:space="preserve">Employee benefits </w:t>
            </w:r>
          </w:p>
        </w:tc>
        <w:tc>
          <w:tcPr>
            <w:tcW w:w="827" w:type="dxa"/>
          </w:tcPr>
          <w:p w14:paraId="2A764730" w14:textId="6038E835" w:rsidR="009E58B7" w:rsidRDefault="009E58B7" w:rsidP="009E58B7">
            <w:pPr>
              <w:spacing w:before="0" w:after="160" w:line="240" w:lineRule="auto"/>
            </w:pPr>
            <w:r>
              <w:t>1</w:t>
            </w:r>
            <w:r w:rsidR="0008110C">
              <w:t>4</w:t>
            </w:r>
          </w:p>
        </w:tc>
        <w:tc>
          <w:tcPr>
            <w:tcW w:w="2254" w:type="dxa"/>
          </w:tcPr>
          <w:p w14:paraId="1695C56C" w14:textId="13B7F826" w:rsidR="009E58B7" w:rsidRDefault="0008110C" w:rsidP="009E58B7">
            <w:pPr>
              <w:spacing w:before="0" w:after="160" w:line="240" w:lineRule="auto"/>
            </w:pPr>
            <w:r w:rsidRPr="0008110C">
              <w:t>205,110</w:t>
            </w:r>
          </w:p>
        </w:tc>
        <w:tc>
          <w:tcPr>
            <w:tcW w:w="2254" w:type="dxa"/>
          </w:tcPr>
          <w:p w14:paraId="0AC37091" w14:textId="27BB254B" w:rsidR="009E58B7" w:rsidRDefault="0008110C" w:rsidP="009E58B7">
            <w:pPr>
              <w:spacing w:before="0" w:after="160" w:line="240" w:lineRule="auto"/>
            </w:pPr>
            <w:r w:rsidRPr="0008110C">
              <w:t>186,950</w:t>
            </w:r>
          </w:p>
        </w:tc>
      </w:tr>
      <w:tr w:rsidR="009E58B7" w14:paraId="3AD896F2" w14:textId="77777777" w:rsidTr="005B5815">
        <w:tc>
          <w:tcPr>
            <w:tcW w:w="3681" w:type="dxa"/>
          </w:tcPr>
          <w:p w14:paraId="0788A4EB" w14:textId="54B7CBB5" w:rsidR="009E58B7" w:rsidRDefault="009E58B7" w:rsidP="009E58B7">
            <w:pPr>
              <w:pStyle w:val="Default"/>
            </w:pPr>
            <w:r>
              <w:t xml:space="preserve">Income in advance </w:t>
            </w:r>
          </w:p>
        </w:tc>
        <w:tc>
          <w:tcPr>
            <w:tcW w:w="827" w:type="dxa"/>
          </w:tcPr>
          <w:p w14:paraId="202B7C4D" w14:textId="3099672D" w:rsidR="009E58B7" w:rsidRDefault="009E58B7" w:rsidP="009E58B7">
            <w:pPr>
              <w:spacing w:before="0" w:after="160" w:line="240" w:lineRule="auto"/>
            </w:pPr>
            <w:r>
              <w:t>1</w:t>
            </w:r>
            <w:r w:rsidR="0008110C">
              <w:t>3</w:t>
            </w:r>
          </w:p>
        </w:tc>
        <w:tc>
          <w:tcPr>
            <w:tcW w:w="2254" w:type="dxa"/>
            <w:vAlign w:val="center"/>
          </w:tcPr>
          <w:p w14:paraId="3F4C60E7" w14:textId="271034DF" w:rsidR="009E58B7" w:rsidRDefault="0008110C" w:rsidP="009E58B7">
            <w:pPr>
              <w:spacing w:before="0" w:after="160" w:line="240" w:lineRule="auto"/>
            </w:pPr>
            <w:r w:rsidRPr="0008110C">
              <w:t>408,141</w:t>
            </w:r>
          </w:p>
        </w:tc>
        <w:tc>
          <w:tcPr>
            <w:tcW w:w="2254" w:type="dxa"/>
            <w:vAlign w:val="center"/>
          </w:tcPr>
          <w:p w14:paraId="702E49F8" w14:textId="007F8645" w:rsidR="009E58B7" w:rsidRDefault="0008110C" w:rsidP="009E58B7">
            <w:pPr>
              <w:spacing w:before="0" w:after="160" w:line="240" w:lineRule="auto"/>
            </w:pPr>
            <w:r w:rsidRPr="0008110C">
              <w:t>413,612</w:t>
            </w:r>
          </w:p>
        </w:tc>
      </w:tr>
      <w:tr w:rsidR="009E58B7" w14:paraId="0DC8CC83" w14:textId="77777777" w:rsidTr="0070139A">
        <w:tc>
          <w:tcPr>
            <w:tcW w:w="3681" w:type="dxa"/>
          </w:tcPr>
          <w:p w14:paraId="22239277" w14:textId="2F7E3E8B" w:rsidR="009E58B7" w:rsidRDefault="009E58B7" w:rsidP="009E58B7">
            <w:pPr>
              <w:pStyle w:val="Default"/>
            </w:pPr>
            <w:r>
              <w:t xml:space="preserve">TOTAL CURRENT LIABILITIES </w:t>
            </w:r>
          </w:p>
        </w:tc>
        <w:tc>
          <w:tcPr>
            <w:tcW w:w="827" w:type="dxa"/>
          </w:tcPr>
          <w:p w14:paraId="49B69CD2" w14:textId="77777777" w:rsidR="009E58B7" w:rsidRDefault="009E58B7" w:rsidP="009E58B7">
            <w:pPr>
              <w:spacing w:before="0" w:after="160" w:line="240" w:lineRule="auto"/>
            </w:pPr>
          </w:p>
        </w:tc>
        <w:tc>
          <w:tcPr>
            <w:tcW w:w="2254" w:type="dxa"/>
            <w:vAlign w:val="center"/>
          </w:tcPr>
          <w:p w14:paraId="7DAB09F7" w14:textId="00219849" w:rsidR="009E58B7" w:rsidRDefault="0008110C" w:rsidP="009E58B7">
            <w:pPr>
              <w:spacing w:before="0" w:after="160" w:line="240" w:lineRule="auto"/>
            </w:pPr>
            <w:r w:rsidRPr="0008110C">
              <w:t>767,641</w:t>
            </w:r>
          </w:p>
        </w:tc>
        <w:tc>
          <w:tcPr>
            <w:tcW w:w="2254" w:type="dxa"/>
            <w:vAlign w:val="center"/>
          </w:tcPr>
          <w:p w14:paraId="25AA353B" w14:textId="0D24C29E" w:rsidR="009E58B7" w:rsidRDefault="0008110C" w:rsidP="009E58B7">
            <w:pPr>
              <w:spacing w:before="0" w:after="160" w:line="240" w:lineRule="auto"/>
            </w:pPr>
            <w:r w:rsidRPr="0008110C">
              <w:t>741,229</w:t>
            </w:r>
          </w:p>
        </w:tc>
      </w:tr>
      <w:tr w:rsidR="009E58B7" w14:paraId="0580C8F4" w14:textId="77777777" w:rsidTr="000A6D0F">
        <w:tc>
          <w:tcPr>
            <w:tcW w:w="9016" w:type="dxa"/>
            <w:gridSpan w:val="4"/>
          </w:tcPr>
          <w:p w14:paraId="1FA12E7A" w14:textId="34D69FC5" w:rsidR="009E58B7" w:rsidRDefault="009E58B7" w:rsidP="009E58B7">
            <w:pPr>
              <w:spacing w:before="0" w:after="160" w:line="240" w:lineRule="auto"/>
            </w:pPr>
            <w:r>
              <w:t xml:space="preserve">NON-CURRENT LIABILITIES </w:t>
            </w:r>
          </w:p>
        </w:tc>
      </w:tr>
      <w:tr w:rsidR="009E58B7" w14:paraId="002920F5" w14:textId="77777777" w:rsidTr="0070139A">
        <w:tc>
          <w:tcPr>
            <w:tcW w:w="3681" w:type="dxa"/>
          </w:tcPr>
          <w:p w14:paraId="38A9E8D2" w14:textId="70A0CF37" w:rsidR="009E58B7" w:rsidRDefault="009E58B7" w:rsidP="009E58B7">
            <w:pPr>
              <w:pStyle w:val="Default"/>
            </w:pPr>
            <w:r>
              <w:t xml:space="preserve">Employee benefits </w:t>
            </w:r>
          </w:p>
        </w:tc>
        <w:tc>
          <w:tcPr>
            <w:tcW w:w="827" w:type="dxa"/>
          </w:tcPr>
          <w:p w14:paraId="69559242" w14:textId="19623218" w:rsidR="009E58B7" w:rsidRDefault="009E58B7" w:rsidP="009E58B7">
            <w:pPr>
              <w:spacing w:before="0" w:after="160" w:line="240" w:lineRule="auto"/>
            </w:pPr>
            <w:r>
              <w:t>1</w:t>
            </w:r>
            <w:r w:rsidR="0008110C">
              <w:t>4</w:t>
            </w:r>
          </w:p>
        </w:tc>
        <w:tc>
          <w:tcPr>
            <w:tcW w:w="2254" w:type="dxa"/>
            <w:vAlign w:val="center"/>
          </w:tcPr>
          <w:p w14:paraId="12D8E33E" w14:textId="0CD33415" w:rsidR="009E58B7" w:rsidRDefault="0008110C" w:rsidP="009E58B7">
            <w:pPr>
              <w:spacing w:before="0" w:after="160" w:line="240" w:lineRule="auto"/>
            </w:pPr>
            <w:r w:rsidRPr="0008110C">
              <w:t>36,330</w:t>
            </w:r>
          </w:p>
        </w:tc>
        <w:tc>
          <w:tcPr>
            <w:tcW w:w="2254" w:type="dxa"/>
            <w:vAlign w:val="center"/>
          </w:tcPr>
          <w:p w14:paraId="25927F44" w14:textId="6491B6B5" w:rsidR="009E58B7" w:rsidRDefault="0008110C" w:rsidP="009E58B7">
            <w:pPr>
              <w:spacing w:before="0" w:after="160" w:line="240" w:lineRule="auto"/>
            </w:pPr>
            <w:r w:rsidRPr="0008110C">
              <w:t>32,864</w:t>
            </w:r>
          </w:p>
        </w:tc>
      </w:tr>
      <w:tr w:rsidR="009E58B7" w14:paraId="321AB56A" w14:textId="77777777" w:rsidTr="0070139A">
        <w:tc>
          <w:tcPr>
            <w:tcW w:w="3681" w:type="dxa"/>
          </w:tcPr>
          <w:p w14:paraId="44E214E5" w14:textId="6001B6EE" w:rsidR="009E58B7" w:rsidRDefault="009E58B7" w:rsidP="009E58B7">
            <w:pPr>
              <w:pStyle w:val="Default"/>
            </w:pPr>
            <w:r>
              <w:t xml:space="preserve">TOTAL NON-CURRENT LIABILITIES </w:t>
            </w:r>
          </w:p>
        </w:tc>
        <w:tc>
          <w:tcPr>
            <w:tcW w:w="827" w:type="dxa"/>
          </w:tcPr>
          <w:p w14:paraId="30487062" w14:textId="77777777" w:rsidR="009E58B7" w:rsidRDefault="009E58B7" w:rsidP="009E58B7">
            <w:pPr>
              <w:spacing w:before="0" w:after="160" w:line="240" w:lineRule="auto"/>
            </w:pPr>
          </w:p>
        </w:tc>
        <w:tc>
          <w:tcPr>
            <w:tcW w:w="2254" w:type="dxa"/>
            <w:vAlign w:val="center"/>
          </w:tcPr>
          <w:p w14:paraId="660C23A2" w14:textId="53241FBC" w:rsidR="009E58B7" w:rsidRDefault="0008110C" w:rsidP="009E58B7">
            <w:pPr>
              <w:spacing w:before="0" w:after="160" w:line="240" w:lineRule="auto"/>
            </w:pPr>
            <w:r w:rsidRPr="0008110C">
              <w:t>36,330</w:t>
            </w:r>
          </w:p>
        </w:tc>
        <w:tc>
          <w:tcPr>
            <w:tcW w:w="2254" w:type="dxa"/>
            <w:vAlign w:val="center"/>
          </w:tcPr>
          <w:p w14:paraId="7ABFFB5A" w14:textId="5FD5F6F7" w:rsidR="009E58B7" w:rsidRDefault="0008110C" w:rsidP="009E58B7">
            <w:pPr>
              <w:spacing w:before="0" w:after="160" w:line="240" w:lineRule="auto"/>
            </w:pPr>
            <w:r w:rsidRPr="0008110C">
              <w:t>32,864</w:t>
            </w:r>
          </w:p>
        </w:tc>
      </w:tr>
      <w:tr w:rsidR="009E58B7" w14:paraId="7B5DEFD2" w14:textId="77777777" w:rsidTr="0070139A">
        <w:tc>
          <w:tcPr>
            <w:tcW w:w="3681" w:type="dxa"/>
          </w:tcPr>
          <w:p w14:paraId="0A9AE0CB" w14:textId="086D351F" w:rsidR="009E58B7" w:rsidRDefault="009E58B7" w:rsidP="009E58B7">
            <w:pPr>
              <w:pStyle w:val="Default"/>
            </w:pPr>
            <w:r>
              <w:t xml:space="preserve">TOTAL LIABILITIES </w:t>
            </w:r>
          </w:p>
        </w:tc>
        <w:tc>
          <w:tcPr>
            <w:tcW w:w="827" w:type="dxa"/>
          </w:tcPr>
          <w:p w14:paraId="72AE8B22" w14:textId="77777777" w:rsidR="009E58B7" w:rsidRDefault="009E58B7" w:rsidP="009E58B7">
            <w:pPr>
              <w:spacing w:before="0" w:after="160" w:line="240" w:lineRule="auto"/>
            </w:pPr>
          </w:p>
        </w:tc>
        <w:tc>
          <w:tcPr>
            <w:tcW w:w="2254" w:type="dxa"/>
            <w:vAlign w:val="center"/>
          </w:tcPr>
          <w:p w14:paraId="2D1C8AD1" w14:textId="105EAAB4" w:rsidR="009E58B7" w:rsidRDefault="0008110C" w:rsidP="009E58B7">
            <w:pPr>
              <w:spacing w:before="0" w:after="160" w:line="240" w:lineRule="auto"/>
            </w:pPr>
            <w:r w:rsidRPr="0008110C">
              <w:t>803,971</w:t>
            </w:r>
          </w:p>
        </w:tc>
        <w:tc>
          <w:tcPr>
            <w:tcW w:w="2254" w:type="dxa"/>
            <w:vAlign w:val="center"/>
          </w:tcPr>
          <w:p w14:paraId="3B064A52" w14:textId="67D71FD8" w:rsidR="009E58B7" w:rsidRDefault="0008110C" w:rsidP="009E58B7">
            <w:pPr>
              <w:spacing w:before="0" w:after="160" w:line="240" w:lineRule="auto"/>
            </w:pPr>
            <w:r w:rsidRPr="0008110C">
              <w:t>774,093</w:t>
            </w:r>
          </w:p>
        </w:tc>
      </w:tr>
      <w:tr w:rsidR="009E58B7" w14:paraId="0B05A97D" w14:textId="77777777" w:rsidTr="00CD4854">
        <w:tc>
          <w:tcPr>
            <w:tcW w:w="3681" w:type="dxa"/>
          </w:tcPr>
          <w:p w14:paraId="5DC648CB" w14:textId="7BD9C67E" w:rsidR="009E58B7" w:rsidRDefault="009E58B7" w:rsidP="009E58B7">
            <w:pPr>
              <w:pStyle w:val="Default"/>
            </w:pPr>
            <w:r>
              <w:t xml:space="preserve">NET ASSETS </w:t>
            </w:r>
          </w:p>
        </w:tc>
        <w:tc>
          <w:tcPr>
            <w:tcW w:w="827" w:type="dxa"/>
          </w:tcPr>
          <w:p w14:paraId="1AE3772E" w14:textId="77777777" w:rsidR="009E58B7" w:rsidRDefault="009E58B7" w:rsidP="009E58B7">
            <w:pPr>
              <w:spacing w:before="0" w:after="160" w:line="240" w:lineRule="auto"/>
            </w:pPr>
          </w:p>
        </w:tc>
        <w:tc>
          <w:tcPr>
            <w:tcW w:w="2254" w:type="dxa"/>
          </w:tcPr>
          <w:p w14:paraId="235FD49D" w14:textId="2399440E" w:rsidR="009E58B7" w:rsidRDefault="0008110C" w:rsidP="009E58B7">
            <w:pPr>
              <w:spacing w:before="0" w:after="160" w:line="240" w:lineRule="auto"/>
            </w:pPr>
            <w:r w:rsidRPr="0008110C">
              <w:t>1,367,469</w:t>
            </w:r>
          </w:p>
        </w:tc>
        <w:tc>
          <w:tcPr>
            <w:tcW w:w="2254" w:type="dxa"/>
          </w:tcPr>
          <w:p w14:paraId="2E6C47A7" w14:textId="0F6F6B39" w:rsidR="009E58B7" w:rsidRDefault="0008110C" w:rsidP="009E58B7">
            <w:pPr>
              <w:spacing w:before="0" w:after="160" w:line="240" w:lineRule="auto"/>
            </w:pPr>
            <w:r w:rsidRPr="0008110C">
              <w:t>1,457,564</w:t>
            </w:r>
          </w:p>
        </w:tc>
      </w:tr>
    </w:tbl>
    <w:p w14:paraId="2AEAFC9D" w14:textId="77777777" w:rsidR="009E58B7" w:rsidRDefault="009E58B7">
      <w:pPr>
        <w:spacing w:before="0" w:after="160" w:line="259" w:lineRule="auto"/>
      </w:pPr>
    </w:p>
    <w:tbl>
      <w:tblPr>
        <w:tblStyle w:val="TableGrid"/>
        <w:tblW w:w="0" w:type="auto"/>
        <w:tblLook w:val="04A0" w:firstRow="1" w:lastRow="0" w:firstColumn="1" w:lastColumn="0" w:noHBand="0" w:noVBand="1"/>
      </w:tblPr>
      <w:tblGrid>
        <w:gridCol w:w="3644"/>
        <w:gridCol w:w="1188"/>
        <w:gridCol w:w="2092"/>
        <w:gridCol w:w="2092"/>
      </w:tblGrid>
      <w:tr w:rsidR="009E58B7" w14:paraId="5937B4EB" w14:textId="77777777" w:rsidTr="009E58B7">
        <w:tc>
          <w:tcPr>
            <w:tcW w:w="3644" w:type="dxa"/>
          </w:tcPr>
          <w:p w14:paraId="373AF584" w14:textId="72EDB11A" w:rsidR="009E58B7" w:rsidRPr="009E58B7" w:rsidRDefault="009E58B7" w:rsidP="009E58B7">
            <w:pPr>
              <w:spacing w:before="0" w:after="160" w:line="259" w:lineRule="auto"/>
              <w:rPr>
                <w:b/>
                <w:bCs/>
              </w:rPr>
            </w:pPr>
            <w:r w:rsidRPr="009E58B7">
              <w:rPr>
                <w:b/>
                <w:bCs/>
              </w:rPr>
              <w:t>EQUITY</w:t>
            </w:r>
          </w:p>
        </w:tc>
        <w:tc>
          <w:tcPr>
            <w:tcW w:w="1188" w:type="dxa"/>
          </w:tcPr>
          <w:p w14:paraId="6BE9983A" w14:textId="741DB6D4" w:rsidR="009E58B7" w:rsidRDefault="009E58B7" w:rsidP="009E58B7">
            <w:pPr>
              <w:spacing w:before="0" w:after="160" w:line="259" w:lineRule="auto"/>
            </w:pPr>
            <w:r w:rsidRPr="009E58B7">
              <w:rPr>
                <w:b/>
                <w:bCs/>
              </w:rPr>
              <w:t>Note</w:t>
            </w:r>
          </w:p>
        </w:tc>
        <w:tc>
          <w:tcPr>
            <w:tcW w:w="2092" w:type="dxa"/>
          </w:tcPr>
          <w:p w14:paraId="7B81C9A6" w14:textId="2E43CEF0" w:rsidR="009E58B7" w:rsidRDefault="009E58B7" w:rsidP="009E58B7">
            <w:pPr>
              <w:spacing w:before="0" w:after="160" w:line="259" w:lineRule="auto"/>
            </w:pPr>
            <w:r w:rsidRPr="009E58B7">
              <w:rPr>
                <w:b/>
                <w:bCs/>
              </w:rPr>
              <w:t>202</w:t>
            </w:r>
            <w:r w:rsidR="00C209A1">
              <w:rPr>
                <w:b/>
                <w:bCs/>
              </w:rPr>
              <w:t>5</w:t>
            </w:r>
            <w:r w:rsidRPr="009E58B7">
              <w:rPr>
                <w:b/>
                <w:bCs/>
              </w:rPr>
              <w:t xml:space="preserve"> $ </w:t>
            </w:r>
          </w:p>
        </w:tc>
        <w:tc>
          <w:tcPr>
            <w:tcW w:w="2092" w:type="dxa"/>
          </w:tcPr>
          <w:p w14:paraId="3D21EAC1" w14:textId="4FDA80F0" w:rsidR="009E58B7" w:rsidRDefault="009E58B7" w:rsidP="009E58B7">
            <w:pPr>
              <w:spacing w:before="0" w:after="160" w:line="259" w:lineRule="auto"/>
            </w:pPr>
            <w:r w:rsidRPr="009E58B7">
              <w:rPr>
                <w:b/>
                <w:bCs/>
              </w:rPr>
              <w:t>202</w:t>
            </w:r>
            <w:r w:rsidR="00C209A1">
              <w:rPr>
                <w:b/>
                <w:bCs/>
              </w:rPr>
              <w:t>4</w:t>
            </w:r>
            <w:r w:rsidRPr="009E58B7">
              <w:rPr>
                <w:b/>
                <w:bCs/>
              </w:rPr>
              <w:t xml:space="preserve"> $ </w:t>
            </w:r>
          </w:p>
        </w:tc>
      </w:tr>
      <w:tr w:rsidR="009E58B7" w14:paraId="7338DFA8" w14:textId="77777777" w:rsidTr="009E58B7">
        <w:tc>
          <w:tcPr>
            <w:tcW w:w="3644" w:type="dxa"/>
            <w:vAlign w:val="center"/>
          </w:tcPr>
          <w:p w14:paraId="49248E29" w14:textId="56753723" w:rsidR="009E58B7" w:rsidRDefault="009E58B7" w:rsidP="009E58B7">
            <w:pPr>
              <w:spacing w:before="0" w:after="160" w:line="259" w:lineRule="auto"/>
            </w:pPr>
            <w:r>
              <w:t xml:space="preserve">Reserves </w:t>
            </w:r>
          </w:p>
        </w:tc>
        <w:tc>
          <w:tcPr>
            <w:tcW w:w="1188" w:type="dxa"/>
            <w:vAlign w:val="center"/>
          </w:tcPr>
          <w:p w14:paraId="1A6E9F3A" w14:textId="6046FDB5" w:rsidR="009E58B7" w:rsidRDefault="009E58B7" w:rsidP="009E58B7">
            <w:pPr>
              <w:spacing w:before="0" w:after="160" w:line="259" w:lineRule="auto"/>
            </w:pPr>
            <w:r>
              <w:t>1</w:t>
            </w:r>
            <w:r w:rsidR="00C209A1">
              <w:t>5</w:t>
            </w:r>
          </w:p>
        </w:tc>
        <w:tc>
          <w:tcPr>
            <w:tcW w:w="2092" w:type="dxa"/>
            <w:vAlign w:val="center"/>
          </w:tcPr>
          <w:p w14:paraId="20DF2FDE" w14:textId="30BD5D8A" w:rsidR="009E58B7" w:rsidRDefault="00C209A1" w:rsidP="009E58B7">
            <w:pPr>
              <w:spacing w:before="0" w:after="160" w:line="259" w:lineRule="auto"/>
            </w:pPr>
            <w:r w:rsidRPr="00C209A1">
              <w:t>412,270</w:t>
            </w:r>
          </w:p>
        </w:tc>
        <w:tc>
          <w:tcPr>
            <w:tcW w:w="2092" w:type="dxa"/>
            <w:vAlign w:val="center"/>
          </w:tcPr>
          <w:p w14:paraId="2D3C092D" w14:textId="79F8AABD" w:rsidR="009E58B7" w:rsidRDefault="009E58B7" w:rsidP="009E58B7">
            <w:pPr>
              <w:spacing w:before="0" w:after="160" w:line="259" w:lineRule="auto"/>
            </w:pPr>
            <w:r>
              <w:t xml:space="preserve">460,000 </w:t>
            </w:r>
          </w:p>
        </w:tc>
      </w:tr>
      <w:tr w:rsidR="009E58B7" w14:paraId="2A90AA60" w14:textId="77777777" w:rsidTr="009E58B7">
        <w:tc>
          <w:tcPr>
            <w:tcW w:w="3644" w:type="dxa"/>
            <w:vAlign w:val="center"/>
          </w:tcPr>
          <w:p w14:paraId="67E927D7" w14:textId="1D9832EA" w:rsidR="009E58B7" w:rsidRDefault="009E58B7" w:rsidP="009E58B7">
            <w:pPr>
              <w:spacing w:before="0" w:after="160" w:line="259" w:lineRule="auto"/>
            </w:pPr>
            <w:r>
              <w:t xml:space="preserve">Retained earnings </w:t>
            </w:r>
          </w:p>
        </w:tc>
        <w:tc>
          <w:tcPr>
            <w:tcW w:w="1188" w:type="dxa"/>
            <w:vAlign w:val="center"/>
          </w:tcPr>
          <w:p w14:paraId="76AA4E06" w14:textId="3AFDCDBC" w:rsidR="009E58B7" w:rsidRDefault="009E58B7" w:rsidP="009E58B7">
            <w:pPr>
              <w:spacing w:before="0" w:after="160" w:line="259" w:lineRule="auto"/>
            </w:pPr>
          </w:p>
        </w:tc>
        <w:tc>
          <w:tcPr>
            <w:tcW w:w="2092" w:type="dxa"/>
            <w:vAlign w:val="center"/>
          </w:tcPr>
          <w:p w14:paraId="7E804419" w14:textId="35FCD286" w:rsidR="009E58B7" w:rsidRDefault="00C209A1" w:rsidP="009E58B7">
            <w:pPr>
              <w:spacing w:before="0" w:after="160" w:line="259" w:lineRule="auto"/>
            </w:pPr>
            <w:r w:rsidRPr="00C209A1">
              <w:t>955,199</w:t>
            </w:r>
          </w:p>
        </w:tc>
        <w:tc>
          <w:tcPr>
            <w:tcW w:w="2092" w:type="dxa"/>
            <w:vAlign w:val="center"/>
          </w:tcPr>
          <w:p w14:paraId="19C1601B" w14:textId="1D15377F" w:rsidR="009E58B7" w:rsidRDefault="00C209A1" w:rsidP="009E58B7">
            <w:pPr>
              <w:spacing w:before="0" w:after="160" w:line="259" w:lineRule="auto"/>
            </w:pPr>
            <w:r w:rsidRPr="00C209A1">
              <w:t>997,564</w:t>
            </w:r>
          </w:p>
        </w:tc>
      </w:tr>
      <w:tr w:rsidR="009E58B7" w14:paraId="21F5B5BE" w14:textId="77777777" w:rsidTr="009E58B7">
        <w:tc>
          <w:tcPr>
            <w:tcW w:w="3644" w:type="dxa"/>
            <w:vAlign w:val="center"/>
          </w:tcPr>
          <w:p w14:paraId="0AE4F20E" w14:textId="15F92FA4" w:rsidR="009E58B7" w:rsidRDefault="009E58B7" w:rsidP="009E58B7">
            <w:pPr>
              <w:spacing w:before="0" w:after="160" w:line="259" w:lineRule="auto"/>
            </w:pPr>
            <w:r>
              <w:t xml:space="preserve">TOTAL EQUITY </w:t>
            </w:r>
          </w:p>
        </w:tc>
        <w:tc>
          <w:tcPr>
            <w:tcW w:w="1188" w:type="dxa"/>
            <w:vAlign w:val="center"/>
          </w:tcPr>
          <w:p w14:paraId="0C26BA03" w14:textId="3A51F754" w:rsidR="009E58B7" w:rsidRDefault="009E58B7" w:rsidP="009E58B7">
            <w:pPr>
              <w:spacing w:before="0" w:after="160" w:line="259" w:lineRule="auto"/>
            </w:pPr>
          </w:p>
        </w:tc>
        <w:tc>
          <w:tcPr>
            <w:tcW w:w="2092" w:type="dxa"/>
            <w:vAlign w:val="center"/>
          </w:tcPr>
          <w:p w14:paraId="44BABE09" w14:textId="340125AB" w:rsidR="009E58B7" w:rsidRDefault="00C209A1" w:rsidP="009E58B7">
            <w:pPr>
              <w:spacing w:before="0" w:after="160" w:line="259" w:lineRule="auto"/>
            </w:pPr>
            <w:r w:rsidRPr="00C209A1">
              <w:t>1,367,469</w:t>
            </w:r>
          </w:p>
        </w:tc>
        <w:tc>
          <w:tcPr>
            <w:tcW w:w="2092" w:type="dxa"/>
            <w:vAlign w:val="center"/>
          </w:tcPr>
          <w:p w14:paraId="4B193AE8" w14:textId="1AAADED6" w:rsidR="009E58B7" w:rsidRDefault="00C209A1" w:rsidP="009E58B7">
            <w:pPr>
              <w:spacing w:before="0" w:after="160" w:line="259" w:lineRule="auto"/>
            </w:pPr>
            <w:r w:rsidRPr="00C209A1">
              <w:t>1,457,564</w:t>
            </w:r>
          </w:p>
        </w:tc>
      </w:tr>
    </w:tbl>
    <w:p w14:paraId="45D44380" w14:textId="776D4795" w:rsidR="00DA5C63" w:rsidRDefault="00DA5C63" w:rsidP="00DA5C63">
      <w:pPr>
        <w:pStyle w:val="Heading1"/>
      </w:pPr>
      <w:bookmarkStart w:id="8" w:name="_Toc228028944"/>
      <w:r>
        <w:t>Our Board</w:t>
      </w:r>
      <w:bookmarkEnd w:id="8"/>
    </w:p>
    <w:p w14:paraId="11C59780" w14:textId="77777777" w:rsidR="00DA5C63" w:rsidRDefault="00DA5C63" w:rsidP="00DA5C63">
      <w:pPr>
        <w:pStyle w:val="Heading2"/>
      </w:pPr>
      <w:r>
        <w:lastRenderedPageBreak/>
        <w:t>Nic Vogelpoel - Chair</w:t>
      </w:r>
    </w:p>
    <w:p w14:paraId="6451C930" w14:textId="355A4887" w:rsidR="00DA5C63" w:rsidRDefault="00DA5C63" w:rsidP="00DA5C63">
      <w:r>
        <w:t xml:space="preserve">Nic has worked in public health, development, sustainability and disability services for over 15 years. He is co-Director of international consultancy firm, Day Four Projects. Nic started his career at Access Arts (Queensland). He has worked in the sector across Australia and the UK. Nic joined the AAV Board in </w:t>
      </w:r>
      <w:r w:rsidR="00AF5E6F">
        <w:t>2022 and</w:t>
      </w:r>
      <w:r>
        <w:t xml:space="preserve"> served as Co-Vice Chair in 2023. He became the Chair in 2024.</w:t>
      </w:r>
    </w:p>
    <w:p w14:paraId="30A01F6A" w14:textId="77777777" w:rsidR="00DA5C63" w:rsidRDefault="00DA5C63" w:rsidP="00DA5C63">
      <w:pPr>
        <w:pStyle w:val="Heading2"/>
      </w:pPr>
      <w:r>
        <w:t>Jodie Nicks - Vice Chair</w:t>
      </w:r>
    </w:p>
    <w:p w14:paraId="09E1EB58" w14:textId="77777777" w:rsidR="00DA5C63" w:rsidRDefault="00DA5C63" w:rsidP="00DA5C63">
      <w:r>
        <w:t>Jodie lives with disability and is a senior adviser to the Victorian government. She advises in disability and access. Jodie is passionate about creating more inclusive communities for Deaf and disabled people. Particularly for those experiencing many intersecting forms of systemic discrimination. Jodie has worked as a performing artist for many years. Jodie received the inaugural Funds in Court Inspire award in 2016. The award recognised her contribution to performing arts and her impact on access and inclusion. Jodie joined the AAV Board in 2022.</w:t>
      </w:r>
    </w:p>
    <w:p w14:paraId="3B0E4D89" w14:textId="0CF50187" w:rsidR="00DA5C63" w:rsidRDefault="00924EBE" w:rsidP="00DA5C63">
      <w:pPr>
        <w:pStyle w:val="Heading2"/>
      </w:pPr>
      <w:r>
        <w:t>Sargoon Singh</w:t>
      </w:r>
      <w:r w:rsidR="00DA5C63">
        <w:t xml:space="preserve"> - Treasurer</w:t>
      </w:r>
    </w:p>
    <w:p w14:paraId="28A8266B" w14:textId="1D08BD74" w:rsidR="00924EBE" w:rsidRDefault="00924EBE" w:rsidP="00DA5C63">
      <w:r w:rsidRPr="00924EBE">
        <w:t xml:space="preserve">Sargoon is a qualified Chartered Global Management Accountant and a Certified Practicing Accountant. He works as a Risk Manager at REST Super. Prior to this, Sargoon also has experience working at Ernst and Young, Macquarie University, Telstra and multiple startups. Sargoon enjoys the theatre, jazz and blues music circuits in Victoria </w:t>
      </w:r>
      <w:r w:rsidR="00AF5E6F" w:rsidRPr="00924EBE">
        <w:t>and</w:t>
      </w:r>
      <w:r w:rsidRPr="00924EBE">
        <w:t xml:space="preserve"> plays the bass guitar. He holds a Master of Accountancy degree from Western Sydney University. He joined the board in 2025.</w:t>
      </w:r>
    </w:p>
    <w:p w14:paraId="48D81A33" w14:textId="77777777" w:rsidR="00DA5C63" w:rsidRDefault="00DA5C63" w:rsidP="00DA5C63">
      <w:pPr>
        <w:pStyle w:val="Heading2"/>
      </w:pPr>
      <w:r>
        <w:t>Erin Kanygin</w:t>
      </w:r>
    </w:p>
    <w:p w14:paraId="20BF2B00" w14:textId="2571F5D7" w:rsidR="00DA5C63" w:rsidRDefault="00DA5C63" w:rsidP="00DA5C63">
      <w:r>
        <w:t>Erin is a former musical theatre performer turned audience member and lover of the arts. She now works as a Legal Transformation Lawyer at Gilbert + Tobin where she specialises in legal automation, artificial intelligence, and other forms of digital disruption. Erin has a passion for access to justice and has always been strongly committed to giving back to the community having volunteered extensively for various not-for-profits in Australia, Canada and Brazil. Erin is truly honoured to be a board member for Arts Access Victoria. She was previously involved with AAV as an “Observer” of the board through the Observership Program. Erin was appointed to the AAV Board in 2023.</w:t>
      </w:r>
    </w:p>
    <w:p w14:paraId="73DDBB26" w14:textId="77777777" w:rsidR="00DA5C63" w:rsidRDefault="00DA5C63" w:rsidP="00DA5C63">
      <w:pPr>
        <w:pStyle w:val="Heading2"/>
      </w:pPr>
      <w:r w:rsidRPr="00DA5C63">
        <w:lastRenderedPageBreak/>
        <w:t>Geoffrey</w:t>
      </w:r>
      <w:r>
        <w:t xml:space="preserve"> Lim</w:t>
      </w:r>
    </w:p>
    <w:p w14:paraId="1C6193E6" w14:textId="1E0621D2" w:rsidR="00DA5C63" w:rsidRDefault="00DA5C63" w:rsidP="00DA5C63">
      <w:r>
        <w:t xml:space="preserve">Geoffrey Lim is the executive director of Cypher Culture, a non-profit organisation empowering street dance communities and culture to thrive. He has 20 </w:t>
      </w:r>
      <w:r w:rsidR="00AF5E6F">
        <w:t>years’ experience</w:t>
      </w:r>
      <w:r>
        <w:t xml:space="preserve"> as a deafblind performing artist and community leader. He is a child of Cambodian refugees. Geoffrey has 8 </w:t>
      </w:r>
      <w:r w:rsidR="00AF5E6F">
        <w:t>years’ experience</w:t>
      </w:r>
      <w:r>
        <w:t xml:space="preserve"> across NAB and Macquarie Group specialising in risk, and financial analysis. He is an alumni of the Observership Program with observer roles at Chunky Move and Outer Urban Projects. He sits on City of Melbourne’s Disability Advisory </w:t>
      </w:r>
      <w:r w:rsidR="00AF5E6F">
        <w:t>Committee and</w:t>
      </w:r>
      <w:r>
        <w:t xml:space="preserve"> holds a Bachelor of Commerce and Bachelor of Laws from The University of Melbourne. He joined the board in 2024.</w:t>
      </w:r>
    </w:p>
    <w:p w14:paraId="66739207" w14:textId="77777777" w:rsidR="00DA5C63" w:rsidRDefault="00DA5C63" w:rsidP="00DA5C63">
      <w:pPr>
        <w:pStyle w:val="Heading2"/>
      </w:pPr>
      <w:r>
        <w:t>Henry Dow</w:t>
      </w:r>
    </w:p>
    <w:p w14:paraId="7AB60E93" w14:textId="77777777" w:rsidR="00DA5C63" w:rsidRDefault="00DA5C63" w:rsidP="00DA5C63">
      <w:r>
        <w:t>Henry is a solicitor based in Naarm / Melbourne who grew up in regional Victoria in a large family who were involved in the para-sports movement, disability advocacy and the arts. He practices law primarily in Native Title and Indigenous land rights, traveling throughout Australia to work with clients, who are often from remote communities in northern Australia. He frequently advises boards of major First Nations led organisations, government owned agencies and private enterprise. Henry has a passion for volunteerism and has held numerous leadership positions across several community organisations. In addition to sitting on the AAV board, Henry is currently the deputy chair of the Portsea Children’s Camp. Outside of work, Henry can be found cheering on the Geelong football club, swimming in the ocean or engaging in any number of niche sports that are forgiving on knees. Henry Joined the board in 2024.</w:t>
      </w:r>
    </w:p>
    <w:p w14:paraId="49729F19" w14:textId="77777777" w:rsidR="00DA5C63" w:rsidRDefault="00DA5C63" w:rsidP="00DA5C63">
      <w:pPr>
        <w:pStyle w:val="Heading2"/>
      </w:pPr>
      <w:r>
        <w:t>Siobhan McGinnity</w:t>
      </w:r>
    </w:p>
    <w:p w14:paraId="6E53B8AE" w14:textId="686AE335" w:rsidR="00EF7E07" w:rsidRPr="00EF7E07" w:rsidRDefault="00DA5C63" w:rsidP="00EF7E07">
      <w:r>
        <w:t xml:space="preserve">Dr Siobhan McGinnity is an audiologist, artist and advocate within the music industry. Her audiology practice focuses on the care of musicians, tutoring future audiologists from the University of Melbourne’s Hearing Care Clinic. Her PhD, Preventing Hearing Injury in the Music Industry was twice awarded by the National Hearing Conservation Association (USA). She has creatively produced industry showcases, performances and disability mentorship programs (Music Makers, Arts Access Victoria), and served on the </w:t>
      </w:r>
      <w:r w:rsidR="00924EBE">
        <w:t>Women’s</w:t>
      </w:r>
      <w:r>
        <w:t xml:space="preserve"> Advisory Panel of Music Victoria. Her music, released under MAGNETS, combines her artistry, science and </w:t>
      </w:r>
      <w:r w:rsidR="00924EBE">
        <w:t>lived experience</w:t>
      </w:r>
      <w:r>
        <w:t xml:space="preserve"> of disability, receiving praise from rage to Rolling</w:t>
      </w:r>
      <w:r w:rsidR="00924EBE">
        <w:t xml:space="preserve"> </w:t>
      </w:r>
      <w:r>
        <w:t>Stone. She joined the board in 2024.</w:t>
      </w:r>
      <w:r w:rsidR="00EF7E07">
        <w:t xml:space="preserve"> </w:t>
      </w:r>
      <w:r w:rsidR="00EF7E07">
        <w:br w:type="page"/>
      </w:r>
    </w:p>
    <w:p w14:paraId="343A82BA" w14:textId="35C554D1" w:rsidR="00DA5C63" w:rsidRDefault="00DA5C63" w:rsidP="00DA5C63">
      <w:pPr>
        <w:pStyle w:val="Heading1"/>
      </w:pPr>
      <w:bookmarkStart w:id="9" w:name="_Toc228028945"/>
      <w:r>
        <w:lastRenderedPageBreak/>
        <w:t>Our Staff</w:t>
      </w:r>
      <w:bookmarkEnd w:id="9"/>
    </w:p>
    <w:p w14:paraId="7787A3B9" w14:textId="78C362D6" w:rsidR="00DA5C63" w:rsidRDefault="00DA5C63" w:rsidP="00DA5C63">
      <w:r>
        <w:t>Thank you to amazing s</w:t>
      </w:r>
      <w:r w:rsidR="00256AB9">
        <w:t>t</w:t>
      </w:r>
      <w:r>
        <w:t>aff that make our artistic and sector activities possible.</w:t>
      </w:r>
    </w:p>
    <w:p w14:paraId="6AF1AD64" w14:textId="3779F309" w:rsidR="00EF7E07" w:rsidRPr="00EF7E07" w:rsidRDefault="00924EBE" w:rsidP="00924EBE">
      <w:r>
        <w:t>Adolfo Aranjuez, Adrian Spurr, Alanah Guiry, Alex Creece, Alison Lang, Alistair Baldwin, Alister Karl, Amra Pajalic, Amy Dellar, Andrea Hughes, Arty Owens, Anna Molnar, Annalies Visser, Ara Dolatian, Artemis Munoz, Avni Dauti, Ayse Ayranci, Baker Renay, Betra Fraval, Brian Nankervis, Caoife Joan Power, Carl DiQuinzio, Carlos Parraga, Caroline Bowditch, Celeste de Clario Davis, Charlie Webb, Christina Jonathan, Cindi Boychuk, Claire Bridge, Daniel Warner, Pegs Marlow, David Rosetzky, David Van De Leur, Declan Cole-Flynn, Ebony Wightman, Eleanor Purseglove, Ella Hughes, Emilie Wright, Eric McCusker, Erin Dick, Fiona Tuomy, Fury, Geoff Robinson, Georgia Fields, Gordon Traill, Gregory Arnold, Helen Graham, Helen Timbury, Iona Julian-Walters, Isabella Millner-Cretney, Jake Mason, Jamie Rawls, Janice Florence, Jax Brown, Jenna Dawkins, Jeremy Hawkes, Joe Monteleone, Joanna Leigh, Joanna Pires, Joshua Pether, Joshua Samuels, Julianne Nguyen, Juliet Rowe, Justine Sless, Kari McInneny-McRae, Kate Stodart, Kate Symons, Kim Sargent Wishart, Kochava Lilit, Krystal Seigerman, Kym Dillon, Lefa Singleton-Norton, Leisa Maree Campbell, Lily Montgomery-Primmer, Linda Studena, Lindy Chadwick, Llewellyn Michael Bates, Louise Barbon-Elliott, Madison Elrick, Margaret Mayhew, Margot Tanjutco, Mark Quinn, Matto Lucas, Millie Cooper, Myf Powell, Naima Fine, Nandita Chakraborty, Nikki Zerella, Oliver Crafter, Peter King, Phil Noack, Poppy Haynes, Rachel Edward, Rebecca Barnard, Rhian Hinkley, Robin Griffin, Sabina Knox, Samuel Price, Samuel Galloway, Sarah Fiddaman, Sarah Stivens, Scott Ross, Sean McDowell, Sebastian Fowler, Sophie Smyth, Stephanie Westwood, Stephen Jenkins, Suzanne Phoenix, Tania Smith, Tara Kingston, Teague Leigh, Theresa Harrison, Timothy Loveday, Timothy Marshall, Tim Reid, Vicky Fitzpatrick, Warren Dowley, Zahran Saheed</w:t>
      </w:r>
      <w:r w:rsidR="00EF7E07">
        <w:br w:type="page"/>
      </w:r>
    </w:p>
    <w:p w14:paraId="4C0E6F6B" w14:textId="5CC77573" w:rsidR="00256AB9" w:rsidRDefault="00256AB9" w:rsidP="00256AB9">
      <w:pPr>
        <w:pStyle w:val="Heading1"/>
      </w:pPr>
      <w:bookmarkStart w:id="10" w:name="_Toc228028946"/>
      <w:r w:rsidRPr="00256AB9">
        <w:lastRenderedPageBreak/>
        <w:t>Our Supporters and Funders</w:t>
      </w:r>
      <w:bookmarkEnd w:id="10"/>
    </w:p>
    <w:p w14:paraId="47D2FD27" w14:textId="2308F529" w:rsidR="00256AB9" w:rsidRDefault="00256AB9" w:rsidP="00256AB9">
      <w:pPr>
        <w:rPr>
          <w:color w:val="000000"/>
        </w:rPr>
      </w:pPr>
      <w:r>
        <w:rPr>
          <w:color w:val="000000"/>
        </w:rPr>
        <w:t>Thank you to all our funders, partners and supporters that make our artistic and sector activities possible.</w:t>
      </w:r>
    </w:p>
    <w:p w14:paraId="56519D45" w14:textId="78F46829" w:rsidR="00256AB9" w:rsidRPr="00256AB9" w:rsidRDefault="0095268E" w:rsidP="0095268E">
      <w:r w:rsidRPr="0095268E">
        <w:t>Access</w:t>
      </w:r>
      <w:r w:rsidR="004442BB">
        <w:t>2</w:t>
      </w:r>
      <w:r w:rsidRPr="0095268E">
        <w:t xml:space="preserve">Arts, Accessible Arts </w:t>
      </w:r>
      <w:r w:rsidR="004442BB">
        <w:t>NSW</w:t>
      </w:r>
      <w:r w:rsidRPr="0095268E">
        <w:t xml:space="preserve">, </w:t>
      </w:r>
      <w:r w:rsidR="004442BB">
        <w:t>ACMI</w:t>
      </w:r>
      <w:r w:rsidRPr="0095268E">
        <w:t xml:space="preserve">, Always Live, Amaga, Apam, </w:t>
      </w:r>
      <w:r w:rsidR="004442BB">
        <w:t>APRA AMCOS</w:t>
      </w:r>
      <w:r w:rsidRPr="0095268E">
        <w:t>, Art</w:t>
      </w:r>
      <w:r w:rsidR="004442BB">
        <w:t>P</w:t>
      </w:r>
      <w:r w:rsidRPr="0095268E">
        <w:t>lay, Arts Access Aotearoa, Arts Access Australia, Arts Centre Melbourne, Arts House, Arts Industry Council Of Victoria, Arts Law Society, Arts Project Australia, Arts</w:t>
      </w:r>
      <w:r w:rsidR="004442BB">
        <w:t>H</w:t>
      </w:r>
      <w:r w:rsidRPr="0095268E">
        <w:t>ub, Ashwood School, Association Of Asia Pacific Performing Arts Centres, Auspicious Arts, Australian National Academy Of Music (</w:t>
      </w:r>
      <w:r w:rsidR="004442BB">
        <w:t>ANAM</w:t>
      </w:r>
      <w:r w:rsidRPr="0095268E">
        <w:t xml:space="preserve">), Bayside Special Development School, Bendigo Arts Gallery, Berendale School, Bowery Theatre And St Albans Community Centre, Brunswick Lodge </w:t>
      </w:r>
      <w:r w:rsidR="004442BB">
        <w:t>SRS</w:t>
      </w:r>
      <w:r w:rsidRPr="0095268E">
        <w:t xml:space="preserve">, Brunswick Uniting Church, Bundoora Homestead Art Centre, Bus Projects Studio Cake, Chippendale Lodge </w:t>
      </w:r>
      <w:r w:rsidR="004442BB">
        <w:t>SRS</w:t>
      </w:r>
      <w:r w:rsidRPr="0095268E">
        <w:t xml:space="preserve">, Chisholm Institute, Chunky Move Dance Co, Cinespace, City </w:t>
      </w:r>
      <w:r w:rsidR="004442BB">
        <w:t>o</w:t>
      </w:r>
      <w:r w:rsidRPr="0095268E">
        <w:t xml:space="preserve">f Banyule, City </w:t>
      </w:r>
      <w:r w:rsidR="004442BB">
        <w:t>o</w:t>
      </w:r>
      <w:r w:rsidRPr="0095268E">
        <w:t xml:space="preserve">f Boroondara, City </w:t>
      </w:r>
      <w:r w:rsidR="004442BB">
        <w:t>o</w:t>
      </w:r>
      <w:r w:rsidRPr="0095268E">
        <w:t xml:space="preserve">f Brimbank, City </w:t>
      </w:r>
      <w:r w:rsidR="004442BB">
        <w:t>o</w:t>
      </w:r>
      <w:r w:rsidRPr="0095268E">
        <w:t xml:space="preserve">f Darebin, City </w:t>
      </w:r>
      <w:r w:rsidR="004442BB">
        <w:t>o</w:t>
      </w:r>
      <w:r w:rsidRPr="0095268E">
        <w:t xml:space="preserve">f Frankston, City </w:t>
      </w:r>
      <w:r w:rsidR="004442BB">
        <w:t>o</w:t>
      </w:r>
      <w:r w:rsidRPr="0095268E">
        <w:t xml:space="preserve">f Greater Dandenong, City </w:t>
      </w:r>
      <w:r w:rsidR="004442BB">
        <w:t>o</w:t>
      </w:r>
      <w:r w:rsidRPr="0095268E">
        <w:t xml:space="preserve">f Kingston, City </w:t>
      </w:r>
      <w:r w:rsidR="004442BB">
        <w:t>o</w:t>
      </w:r>
      <w:r w:rsidRPr="0095268E">
        <w:t xml:space="preserve">f </w:t>
      </w:r>
      <w:r w:rsidR="004442BB" w:rsidRPr="0095268E">
        <w:t>Melbourne</w:t>
      </w:r>
      <w:r w:rsidRPr="0095268E">
        <w:t xml:space="preserve">, City </w:t>
      </w:r>
      <w:r w:rsidR="004442BB">
        <w:t>o</w:t>
      </w:r>
      <w:r w:rsidRPr="0095268E">
        <w:t xml:space="preserve">f Merri-Bek, City </w:t>
      </w:r>
      <w:r w:rsidR="004442BB">
        <w:t>o</w:t>
      </w:r>
      <w:r w:rsidRPr="0095268E">
        <w:t xml:space="preserve">f Port Phillip, City </w:t>
      </w:r>
      <w:r w:rsidR="004442BB">
        <w:t>o</w:t>
      </w:r>
      <w:r w:rsidRPr="0095268E">
        <w:t xml:space="preserve">f Whittlesea, City </w:t>
      </w:r>
      <w:r w:rsidR="004442BB">
        <w:t>o</w:t>
      </w:r>
      <w:r w:rsidRPr="0095268E">
        <w:t xml:space="preserve">f Wyndham, City </w:t>
      </w:r>
      <w:r w:rsidR="004442BB">
        <w:t>o</w:t>
      </w:r>
      <w:r w:rsidRPr="0095268E">
        <w:t xml:space="preserve">f Yarra, Collingwood Yards, Creative Australia, Creative Victoria, Curtin University, </w:t>
      </w:r>
      <w:r w:rsidR="004442BB">
        <w:t>DADAA</w:t>
      </w:r>
      <w:r w:rsidRPr="0095268E">
        <w:t>, Dax Centre, Department Of Families, Fairness And Housing, Department Of Health, Department Of Infrastructure Transport, Department of Social Services, Regional Development And Communications, Diversity Arts Australia, Diversity Arts Victoria, Emerging Writers Festival, Engage!, Equal Employment Opportunity Network, Expression Austra</w:t>
      </w:r>
      <w:r w:rsidR="004442BB">
        <w:t>l</w:t>
      </w:r>
      <w:r w:rsidRPr="0095268E">
        <w:t xml:space="preserve">ia, Feral Arts, Flinders University, Flow Festival, Footscray Community Arts, Footscray House </w:t>
      </w:r>
      <w:r w:rsidR="004442BB">
        <w:t>SRS</w:t>
      </w:r>
      <w:r w:rsidRPr="0095268E">
        <w:t xml:space="preserve">, Greenhaven </w:t>
      </w:r>
      <w:r w:rsidR="004442BB">
        <w:t>SRS</w:t>
      </w:r>
      <w:r w:rsidRPr="0095268E">
        <w:t xml:space="preserve">, Hobsons Bay City Council, Hong Kong </w:t>
      </w:r>
      <w:r w:rsidR="004442BB">
        <w:t>CCD</w:t>
      </w:r>
      <w:r w:rsidRPr="0095268E">
        <w:t>, Iilbjerri Theatre Company, Incite Arts, J</w:t>
      </w:r>
      <w:r w:rsidR="004442BB">
        <w:t>MC</w:t>
      </w:r>
      <w:r w:rsidRPr="0095268E">
        <w:t xml:space="preserve"> Academy, Koorie Heritage Trust, Korea Disability Culture And Arts </w:t>
      </w:r>
      <w:r w:rsidR="004442BB" w:rsidRPr="0095268E">
        <w:t>Centre</w:t>
      </w:r>
      <w:r w:rsidRPr="0095268E">
        <w:t>, La Mama Theatre, La Trobe Regional Gallery, Little Projector Company, Live Nation, Louis Joel Arts &amp; Community Centre, Lucy Guerin Inc, Maribyrnong City Council, Maroondah City Council, Marriner Theatres, Melbourne Arts Precinct (</w:t>
      </w:r>
      <w:r w:rsidR="00AF5E6F">
        <w:t>MAP Co</w:t>
      </w:r>
      <w:r w:rsidRPr="0095268E">
        <w:t xml:space="preserve">), Melbourne Fringe, Melbourne International Film Festival, Melbourne Recital Centre, Melton City Council, Melton Willows </w:t>
      </w:r>
      <w:r w:rsidR="004442BB">
        <w:t>SRS</w:t>
      </w:r>
      <w:r w:rsidRPr="0095268E">
        <w:t>, Merri-Bek City Council, Midsumma</w:t>
      </w:r>
      <w:r w:rsidR="004442BB">
        <w:t xml:space="preserve"> Festival</w:t>
      </w:r>
      <w:r w:rsidRPr="0095268E">
        <w:t xml:space="preserve">, Moonee Valley Council, Multicultural Arts Victoria, </w:t>
      </w:r>
      <w:r w:rsidR="004442BB" w:rsidRPr="0095268E">
        <w:t>Museum</w:t>
      </w:r>
      <w:r w:rsidR="004442BB">
        <w:t>s</w:t>
      </w:r>
      <w:r w:rsidRPr="0095268E">
        <w:t xml:space="preserve"> Victoria, Music Victoria, National Gallery Of Victoria, Next Wave, Northern Terrace S</w:t>
      </w:r>
      <w:r w:rsidR="004442BB">
        <w:t>RS</w:t>
      </w:r>
      <w:r w:rsidRPr="0095268E">
        <w:t xml:space="preserve">, Not Just Opera, Orchestra Victoria, Park Towers Management, Public Libraries Victoria, Queens Lodge </w:t>
      </w:r>
      <w:r w:rsidR="004442BB">
        <w:t>SRS</w:t>
      </w:r>
      <w:r w:rsidRPr="0095268E">
        <w:t>, Queensland University Of Technology, Regional Arts Victoria, Rising Festival, Royal Ave S</w:t>
      </w:r>
      <w:r w:rsidR="004442BB">
        <w:t>RS</w:t>
      </w:r>
      <w:r w:rsidRPr="0095268E">
        <w:t xml:space="preserve">, Schinzy Inc, School House Studios, Screen Australia, Services Australia, </w:t>
      </w:r>
      <w:r w:rsidR="004442BB">
        <w:t>SIGNAL</w:t>
      </w:r>
      <w:r w:rsidRPr="0095268E">
        <w:t>, South</w:t>
      </w:r>
      <w:r w:rsidR="004442BB">
        <w:t xml:space="preserve"> W</w:t>
      </w:r>
      <w:r w:rsidRPr="0095268E">
        <w:t>est T</w:t>
      </w:r>
      <w:r w:rsidR="004442BB">
        <w:t>AFE</w:t>
      </w:r>
      <w:r w:rsidRPr="0095268E">
        <w:t xml:space="preserve">, St Kilda Film Festival, State Library </w:t>
      </w:r>
      <w:r w:rsidR="004442BB">
        <w:t>o</w:t>
      </w:r>
      <w:r w:rsidRPr="0095268E">
        <w:t xml:space="preserve">f Victoria, Swinburne University, Sydenham Grace </w:t>
      </w:r>
      <w:r w:rsidR="004442BB">
        <w:t>SRS</w:t>
      </w:r>
      <w:r w:rsidRPr="0095268E">
        <w:t xml:space="preserve">, The Push, The Wheeler Centre, Theatre Network Australia, Undercover Arts Festival, University </w:t>
      </w:r>
      <w:r w:rsidR="004442BB">
        <w:t>o</w:t>
      </w:r>
      <w:r w:rsidRPr="0095268E">
        <w:t xml:space="preserve">f Melbourne, University </w:t>
      </w:r>
      <w:r w:rsidR="004442BB">
        <w:t>o</w:t>
      </w:r>
      <w:r w:rsidRPr="0095268E">
        <w:t xml:space="preserve">f Queensland, </w:t>
      </w:r>
      <w:r w:rsidR="004442BB">
        <w:t>VAPAC</w:t>
      </w:r>
      <w:r w:rsidRPr="0095268E">
        <w:t>, Vic</w:t>
      </w:r>
      <w:r w:rsidR="004442BB">
        <w:t>S</w:t>
      </w:r>
      <w:r w:rsidRPr="0095268E">
        <w:t>creen, Victoria University, Victorian Government, Victorian Music Development Offices, Vision Australia, Visit Victoria, Western Edge, West</w:t>
      </w:r>
      <w:r w:rsidR="004442BB">
        <w:t xml:space="preserve"> S</w:t>
      </w:r>
      <w:r w:rsidRPr="0095268E">
        <w:t xml:space="preserve">pace, White Horse Performing Arts, Wild At Heart, Willows </w:t>
      </w:r>
      <w:r w:rsidR="004442BB">
        <w:t>SRS</w:t>
      </w:r>
      <w:r w:rsidRPr="0095268E">
        <w:t>, Yarra Sculpture Gallery, Y</w:t>
      </w:r>
      <w:r w:rsidR="004442BB">
        <w:t>IRRAMBOI</w:t>
      </w:r>
    </w:p>
    <w:sectPr w:rsidR="00256AB9" w:rsidRPr="00256AB9" w:rsidSect="00E34572">
      <w:headerReference w:type="default" r:id="rId12"/>
      <w:footerReference w:type="default" r:id="rId13"/>
      <w:headerReference w:type="first" r:id="rId14"/>
      <w:footerReference w:type="first" r:id="rId15"/>
      <w:type w:val="continuous"/>
      <w:pgSz w:w="11906" w:h="16838"/>
      <w:pgMar w:top="1440" w:right="1440" w:bottom="1440" w:left="1440"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5CB5" w14:textId="77777777" w:rsidR="004E3173" w:rsidRDefault="004E3173" w:rsidP="003D194C">
      <w:pPr>
        <w:spacing w:before="0" w:after="0" w:line="240" w:lineRule="auto"/>
      </w:pPr>
      <w:r>
        <w:separator/>
      </w:r>
    </w:p>
  </w:endnote>
  <w:endnote w:type="continuationSeparator" w:id="0">
    <w:p w14:paraId="5A385325" w14:textId="77777777" w:rsidR="004E3173" w:rsidRDefault="004E3173" w:rsidP="003D194C">
      <w:pPr>
        <w:spacing w:before="0" w:after="0" w:line="240" w:lineRule="auto"/>
      </w:pPr>
      <w:r>
        <w:continuationSeparator/>
      </w:r>
    </w:p>
  </w:endnote>
  <w:endnote w:type="continuationNotice" w:id="1">
    <w:p w14:paraId="05BD06E4" w14:textId="77777777" w:rsidR="004E3173" w:rsidRDefault="004E3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691" w14:textId="24BFFD2F" w:rsidR="00B17EA2" w:rsidRPr="006F649E" w:rsidRDefault="00000000" w:rsidP="00C31172">
    <w:pPr>
      <w:pStyle w:val="Footer"/>
      <w:tabs>
        <w:tab w:val="clear" w:pos="4513"/>
        <w:tab w:val="clear" w:pos="9026"/>
        <w:tab w:val="right" w:pos="9638"/>
      </w:tabs>
      <w:rPr>
        <w:sz w:val="16"/>
        <w:szCs w:val="16"/>
      </w:rPr>
    </w:pPr>
    <w:sdt>
      <w:sdtPr>
        <w:rPr>
          <w:sz w:val="22"/>
          <w:szCs w:val="20"/>
        </w:rPr>
        <w:id w:val="1400475732"/>
        <w:docPartObj>
          <w:docPartGallery w:val="Page Numbers (Top of Page)"/>
          <w:docPartUnique/>
        </w:docPartObj>
      </w:sdt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E34572">
      <w:rPr>
        <w:sz w:val="22"/>
        <w:szCs w:val="20"/>
      </w:rPr>
      <w:tab/>
    </w:r>
    <w:r w:rsidR="00256AB9">
      <w:rPr>
        <w:sz w:val="22"/>
        <w:szCs w:val="20"/>
      </w:rPr>
      <w:sym w:font="Symbol" w:char="F0E3"/>
    </w:r>
    <w:r w:rsidR="00256AB9">
      <w:rPr>
        <w:sz w:val="22"/>
        <w:szCs w:val="20"/>
      </w:rPr>
      <w:t xml:space="preserve"> </w:t>
    </w:r>
    <w:r w:rsidR="00256AB9">
      <w:rPr>
        <w:sz w:val="16"/>
        <w:szCs w:val="16"/>
      </w:rPr>
      <w:t>Arts Access Victoria 2025</w:t>
    </w:r>
    <w:r w:rsidR="005F01DF" w:rsidRPr="006F649E">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563D" w14:textId="77777777" w:rsidR="0090092F" w:rsidRPr="0090092F" w:rsidRDefault="00000000">
    <w:pPr>
      <w:pStyle w:val="Footer"/>
      <w:rPr>
        <w:sz w:val="22"/>
        <w:szCs w:val="20"/>
      </w:rPr>
    </w:pPr>
    <w:sdt>
      <w:sdtPr>
        <w:id w:val="-1705238520"/>
        <w:docPartObj>
          <w:docPartGallery w:val="Page Numbers (Top of Page)"/>
          <w:docPartUnique/>
        </w:docPartObj>
      </w:sdtPr>
      <w:sdtEndPr>
        <w:rPr>
          <w:sz w:val="22"/>
          <w:szCs w:val="20"/>
        </w:rPr>
      </w:sdtEnd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90092F" w:rsidRPr="0090092F">
      <w:rPr>
        <w:sz w:val="22"/>
        <w:szCs w:val="20"/>
      </w:rPr>
      <w:t xml:space="preserve"> </w:t>
    </w:r>
    <w:r w:rsidR="0090092F" w:rsidRPr="0090092F">
      <w:rPr>
        <w:sz w:val="22"/>
        <w:szCs w:val="20"/>
      </w:rPr>
      <w:ptab w:relativeTo="margin" w:alignment="center" w:leader="none"/>
    </w:r>
    <w:r w:rsidR="0090092F" w:rsidRPr="0090092F">
      <w:rPr>
        <w:sz w:val="22"/>
        <w:szCs w:val="20"/>
      </w:rPr>
      <w:ptab w:relativeTo="margin" w:alignment="right" w:leader="none"/>
    </w:r>
    <w:r w:rsidR="0090092F" w:rsidRPr="0090092F">
      <w:rPr>
        <w:sz w:val="22"/>
        <w:szCs w:val="20"/>
      </w:rPr>
      <w:t xml:space="preserve">Cultural </w:t>
    </w:r>
    <w:r w:rsidR="00227CFA" w:rsidRPr="00227CFA">
      <w:rPr>
        <w:sz w:val="22"/>
        <w:szCs w:val="20"/>
      </w:rPr>
      <w:t>equity</w:t>
    </w:r>
    <w:r w:rsidR="0090092F" w:rsidRPr="0090092F">
      <w:rPr>
        <w:sz w:val="22"/>
        <w:szCs w:val="20"/>
      </w:rPr>
      <w:t xml:space="preserve"> for Deaf and Disabled people</w:t>
    </w:r>
    <w:r w:rsidR="0090092F">
      <w:rPr>
        <w:sz w:val="22"/>
        <w:szCs w:val="20"/>
      </w:rPr>
      <w:t>.</w:t>
    </w:r>
  </w:p>
  <w:p w14:paraId="2F712692" w14:textId="77777777" w:rsidR="00B17EA2" w:rsidRDefault="00B17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5B02" w14:textId="77777777" w:rsidR="004E3173" w:rsidRDefault="004E3173" w:rsidP="003D194C">
      <w:pPr>
        <w:spacing w:before="0" w:after="0" w:line="240" w:lineRule="auto"/>
      </w:pPr>
      <w:r>
        <w:separator/>
      </w:r>
    </w:p>
  </w:footnote>
  <w:footnote w:type="continuationSeparator" w:id="0">
    <w:p w14:paraId="16297223" w14:textId="77777777" w:rsidR="004E3173" w:rsidRDefault="004E3173" w:rsidP="003D194C">
      <w:pPr>
        <w:spacing w:before="0" w:after="0" w:line="240" w:lineRule="auto"/>
      </w:pPr>
      <w:r>
        <w:continuationSeparator/>
      </w:r>
    </w:p>
  </w:footnote>
  <w:footnote w:type="continuationNotice" w:id="1">
    <w:p w14:paraId="2802F7EE" w14:textId="77777777" w:rsidR="004E3173" w:rsidRDefault="004E31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9385" w14:textId="49CFAB8B" w:rsidR="00B17EA2" w:rsidRPr="0032281E" w:rsidRDefault="00000000" w:rsidP="00C31172">
    <w:pPr>
      <w:pStyle w:val="Header"/>
      <w:tabs>
        <w:tab w:val="clear" w:pos="4513"/>
        <w:tab w:val="clear" w:pos="9026"/>
        <w:tab w:val="center" w:pos="2127"/>
        <w:tab w:val="right" w:pos="9638"/>
      </w:tabs>
      <w:spacing w:after="240" w:line="276" w:lineRule="auto"/>
      <w:rPr>
        <w:rFonts w:cstheme="minorHAnsi"/>
        <w:color w:val="000000"/>
        <w:sz w:val="22"/>
        <w:szCs w:val="21"/>
        <w:shd w:val="clear" w:color="auto" w:fill="FFFFFF"/>
        <w:lang w:val="en-US"/>
      </w:rPr>
    </w:pPr>
    <w:sdt>
      <w:sdtPr>
        <w:rPr>
          <w:rFonts w:cstheme="minorHAnsi"/>
          <w:color w:val="000000"/>
          <w:sz w:val="22"/>
          <w:szCs w:val="21"/>
          <w:shd w:val="clear" w:color="auto" w:fill="FFFFFF"/>
          <w:lang w:val="en-US"/>
        </w:rPr>
        <w:alias w:val="Title"/>
        <w:tag w:val=""/>
        <w:id w:val="68776486"/>
        <w:dataBinding w:prefixMappings="xmlns:ns0='http://purl.org/dc/elements/1.1/' xmlns:ns1='http://schemas.openxmlformats.org/package/2006/metadata/core-properties' " w:xpath="/ns1:coreProperties[1]/ns0:title[1]" w:storeItemID="{6C3C8BC8-F283-45AE-878A-BAB7291924A1}"/>
        <w:text/>
      </w:sdtPr>
      <w:sdtContent>
        <w:r w:rsidR="00256AB9" w:rsidRPr="00256AB9">
          <w:rPr>
            <w:rFonts w:cstheme="minorHAnsi"/>
            <w:color w:val="000000"/>
            <w:sz w:val="22"/>
            <w:szCs w:val="21"/>
            <w:shd w:val="clear" w:color="auto" w:fill="FFFFFF"/>
            <w:lang w:val="en-US"/>
          </w:rPr>
          <w:t>Arts Access Victoria Annual Report 202</w:t>
        </w:r>
        <w:r w:rsidR="00585D75">
          <w:rPr>
            <w:rFonts w:cstheme="minorHAnsi"/>
            <w:color w:val="000000"/>
            <w:sz w:val="22"/>
            <w:szCs w:val="21"/>
            <w:shd w:val="clear" w:color="auto" w:fill="FFFFFF"/>
            <w:lang w:val="en-US"/>
          </w:rPr>
          <w:t>5</w:t>
        </w:r>
      </w:sdtContent>
    </w:sdt>
    <w:r w:rsidR="006F649E">
      <w:rPr>
        <w:rFonts w:cstheme="minorHAnsi"/>
        <w:color w:val="000000"/>
        <w:sz w:val="22"/>
        <w:szCs w:val="21"/>
        <w:shd w:val="clear" w:color="auto" w:fill="FFFFFF"/>
        <w:lang w:val="en-US"/>
      </w:rPr>
      <w:tab/>
    </w:r>
    <w:r w:rsidR="006F649E">
      <w:rPr>
        <w:rFonts w:cstheme="minorHAnsi"/>
        <w:color w:val="000000"/>
        <w:sz w:val="22"/>
        <w:szCs w:val="21"/>
        <w:shd w:val="clear" w:color="auto" w:fill="FFFFFF"/>
        <w:lang w:val="en-US"/>
      </w:rPr>
      <w:fldChar w:fldCharType="begin"/>
    </w:r>
    <w:r w:rsidR="006F649E">
      <w:rPr>
        <w:rFonts w:cstheme="minorHAnsi"/>
        <w:color w:val="000000"/>
        <w:sz w:val="22"/>
        <w:szCs w:val="21"/>
        <w:shd w:val="clear" w:color="auto" w:fill="FFFFFF"/>
      </w:rPr>
      <w:instrText xml:space="preserve"> DATE \@ "d/MM/yyyy" </w:instrText>
    </w:r>
    <w:r w:rsidR="006F649E">
      <w:rPr>
        <w:rFonts w:cstheme="minorHAnsi"/>
        <w:color w:val="000000"/>
        <w:sz w:val="22"/>
        <w:szCs w:val="21"/>
        <w:shd w:val="clear" w:color="auto" w:fill="FFFFFF"/>
        <w:lang w:val="en-US"/>
      </w:rPr>
      <w:fldChar w:fldCharType="separate"/>
    </w:r>
    <w:r w:rsidR="00AF5E6F">
      <w:rPr>
        <w:rFonts w:cstheme="minorHAnsi"/>
        <w:noProof/>
        <w:color w:val="000000"/>
        <w:sz w:val="22"/>
        <w:szCs w:val="21"/>
        <w:shd w:val="clear" w:color="auto" w:fill="FFFFFF"/>
      </w:rPr>
      <w:t>25/04/2026</w:t>
    </w:r>
    <w:r w:rsidR="006F649E">
      <w:rPr>
        <w:rFonts w:cstheme="minorHAnsi"/>
        <w:color w:val="000000"/>
        <w:sz w:val="22"/>
        <w:szCs w:val="21"/>
        <w:shd w:val="clear" w:color="auto" w:fill="FFFFF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E4A" w14:textId="77777777" w:rsidR="00123D95" w:rsidRPr="001F6884" w:rsidRDefault="00123D95" w:rsidP="00123D95">
    <w:pPr>
      <w:pStyle w:val="Header"/>
      <w:spacing w:after="120" w:line="312" w:lineRule="auto"/>
      <w:rPr>
        <w:rFonts w:cstheme="minorHAnsi"/>
        <w:color w:val="000000"/>
        <w:sz w:val="20"/>
        <w:szCs w:val="18"/>
        <w:shd w:val="clear" w:color="auto" w:fill="FFFFFF"/>
      </w:rPr>
    </w:pPr>
    <w:r w:rsidRPr="001F6884">
      <w:rPr>
        <w:rFonts w:cstheme="minorHAnsi"/>
        <w:noProof/>
        <w:color w:val="000000"/>
        <w:shd w:val="clear" w:color="auto" w:fill="FFFFFF"/>
      </w:rPr>
      <w:drawing>
        <wp:anchor distT="0" distB="0" distL="114300" distR="114300" simplePos="0" relativeHeight="251658241" behindDoc="1" locked="0" layoutInCell="1" allowOverlap="1" wp14:anchorId="7F01CD9B" wp14:editId="0339AF2B">
          <wp:simplePos x="0" y="0"/>
          <wp:positionH relativeFrom="margin">
            <wp:align>right</wp:align>
          </wp:positionH>
          <wp:positionV relativeFrom="paragraph">
            <wp:posOffset>3116</wp:posOffset>
          </wp:positionV>
          <wp:extent cx="1749425" cy="901700"/>
          <wp:effectExtent l="0" t="0" r="0" b="0"/>
          <wp:wrapNone/>
          <wp:docPr id="467528734" name="Picture 467528734" descr="Arts Acces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Access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1749425" cy="901700"/>
                  </a:xfrm>
                  <a:prstGeom prst="rect">
                    <a:avLst/>
                  </a:prstGeom>
                </pic:spPr>
              </pic:pic>
            </a:graphicData>
          </a:graphic>
          <wp14:sizeRelH relativeFrom="page">
            <wp14:pctWidth>0</wp14:pctWidth>
          </wp14:sizeRelH>
          <wp14:sizeRelV relativeFrom="page">
            <wp14:pctHeight>0</wp14:pctHeight>
          </wp14:sizeRelV>
        </wp:anchor>
      </w:drawing>
    </w:r>
    <w:r w:rsidRPr="001F6884">
      <w:rPr>
        <w:rFonts w:cstheme="minorHAnsi"/>
        <w:color w:val="000000"/>
        <w:sz w:val="20"/>
        <w:szCs w:val="18"/>
        <w:shd w:val="clear" w:color="auto" w:fill="FFFFFF"/>
      </w:rPr>
      <w:t>Art Access Society Incorporated</w:t>
    </w:r>
    <w:r>
      <w:rPr>
        <w:rFonts w:cstheme="minorHAnsi"/>
        <w:color w:val="000000"/>
        <w:sz w:val="20"/>
        <w:szCs w:val="18"/>
        <w:shd w:val="clear" w:color="auto" w:fill="FFFFFF"/>
      </w:rPr>
      <w:t xml:space="preserve"> </w:t>
    </w:r>
    <w:r>
      <w:rPr>
        <w:rFonts w:cstheme="minorHAnsi"/>
        <w:color w:val="000000"/>
        <w:sz w:val="20"/>
        <w:szCs w:val="18"/>
        <w:shd w:val="clear" w:color="auto" w:fill="FFFFFF"/>
      </w:rPr>
      <w:br/>
    </w:r>
    <w:r w:rsidRPr="001F6884">
      <w:rPr>
        <w:rFonts w:cstheme="minorHAnsi"/>
        <w:color w:val="000000"/>
        <w:sz w:val="20"/>
        <w:szCs w:val="18"/>
        <w:shd w:val="clear" w:color="auto" w:fill="FFFFFF"/>
      </w:rPr>
      <w:t>registration number A0007628K ABN 34 192 751 897</w:t>
    </w:r>
  </w:p>
  <w:p w14:paraId="6079FA8C" w14:textId="77777777" w:rsidR="00123D95" w:rsidRPr="001F6884" w:rsidRDefault="00123D95" w:rsidP="00123D95">
    <w:pPr>
      <w:pStyle w:val="Header"/>
      <w:tabs>
        <w:tab w:val="clear" w:pos="4513"/>
        <w:tab w:val="center" w:pos="2835"/>
      </w:tabs>
      <w:spacing w:line="312" w:lineRule="auto"/>
      <w:rPr>
        <w:rFonts w:cstheme="minorHAnsi"/>
        <w:color w:val="000000"/>
        <w:shd w:val="clear" w:color="auto" w:fill="FFFFFF"/>
      </w:rPr>
    </w:pPr>
    <w:r w:rsidRPr="001F6884">
      <w:rPr>
        <w:rFonts w:cstheme="minorHAnsi"/>
        <w:color w:val="000000"/>
        <w:shd w:val="clear" w:color="auto" w:fill="FFFFFF"/>
      </w:rPr>
      <w:t xml:space="preserve">Adress: </w:t>
    </w:r>
    <w:r w:rsidRPr="001F6884">
      <w:rPr>
        <w:rFonts w:cstheme="minorHAnsi"/>
        <w:color w:val="000000"/>
        <w:shd w:val="clear" w:color="auto" w:fill="FFFFFF"/>
      </w:rPr>
      <w:tab/>
      <w:t>22 Bank St. South Melbourne 3205</w:t>
    </w:r>
  </w:p>
  <w:p w14:paraId="428DB981" w14:textId="77777777" w:rsidR="00123D95" w:rsidRPr="00BE43C8" w:rsidRDefault="00123D95" w:rsidP="00123D95">
    <w:pPr>
      <w:pStyle w:val="Header"/>
      <w:tabs>
        <w:tab w:val="clear" w:pos="4513"/>
        <w:tab w:val="center" w:pos="1843"/>
      </w:tabs>
      <w:spacing w:line="312" w:lineRule="auto"/>
      <w:rPr>
        <w:rFonts w:cstheme="minorHAnsi"/>
        <w:color w:val="000000"/>
        <w:shd w:val="clear" w:color="auto" w:fill="FFFFFF"/>
      </w:rPr>
    </w:pPr>
    <w:r w:rsidRPr="001F6884">
      <w:rPr>
        <w:rFonts w:cstheme="minorHAnsi"/>
        <w:color w:val="000000"/>
        <w:shd w:val="clear" w:color="auto" w:fill="FFFFFF"/>
      </w:rPr>
      <w:t xml:space="preserve">Phone: </w:t>
    </w:r>
    <w:r w:rsidRPr="001F6884">
      <w:rPr>
        <w:rFonts w:cstheme="minorHAnsi"/>
        <w:color w:val="000000"/>
        <w:shd w:val="clear" w:color="auto" w:fill="FFFFFF"/>
      </w:rPr>
      <w:tab/>
      <w:t>03 9699</w:t>
    </w:r>
    <w:r w:rsidRPr="00BE43C8">
      <w:rPr>
        <w:rFonts w:cstheme="minorHAnsi"/>
        <w:color w:val="000000"/>
        <w:shd w:val="clear" w:color="auto" w:fill="FFFFFF"/>
      </w:rPr>
      <w:t xml:space="preserve"> 8299</w:t>
    </w:r>
  </w:p>
  <w:p w14:paraId="5212723D" w14:textId="77777777" w:rsidR="00123D95" w:rsidRPr="00BE43C8" w:rsidRDefault="00123D95" w:rsidP="00123D95">
    <w:pPr>
      <w:pStyle w:val="Header"/>
      <w:tabs>
        <w:tab w:val="clear" w:pos="4513"/>
        <w:tab w:val="center" w:pos="2410"/>
      </w:tabs>
      <w:spacing w:line="312" w:lineRule="auto"/>
      <w:rPr>
        <w:rFonts w:cstheme="minorHAnsi"/>
        <w:color w:val="000000"/>
        <w:shd w:val="clear" w:color="auto" w:fill="FFFFFF"/>
      </w:rPr>
    </w:pPr>
    <w:r w:rsidRPr="00BE43C8">
      <w:rPr>
        <w:rFonts w:cstheme="minorHAnsi"/>
        <w:color w:val="000000"/>
        <w:shd w:val="clear" w:color="auto" w:fill="FFFFFF"/>
      </w:rPr>
      <w:t>Email:</w:t>
    </w:r>
    <w:r>
      <w:rPr>
        <w:rFonts w:cstheme="minorHAnsi"/>
        <w:color w:val="000000"/>
        <w:shd w:val="clear" w:color="auto" w:fill="FFFFFF"/>
      </w:rPr>
      <w:t xml:space="preserve"> </w:t>
    </w:r>
    <w:r>
      <w:rPr>
        <w:rFonts w:cstheme="minorHAnsi"/>
        <w:color w:val="000000"/>
        <w:shd w:val="clear" w:color="auto" w:fill="FFFFFF"/>
      </w:rPr>
      <w:tab/>
    </w:r>
    <w:hyperlink r:id="rId2" w:history="1">
      <w:r w:rsidRPr="00BB21F9">
        <w:rPr>
          <w:rStyle w:val="Hyperlink"/>
          <w:rFonts w:cstheme="minorHAnsi"/>
          <w:shd w:val="clear" w:color="auto" w:fill="FFFFFF"/>
        </w:rPr>
        <w:t>info@artsaccess.com.au</w:t>
      </w:r>
    </w:hyperlink>
  </w:p>
  <w:p w14:paraId="28B568FA" w14:textId="77777777" w:rsidR="00123D95" w:rsidRPr="00123D95" w:rsidRDefault="00123D95" w:rsidP="00BE0FCA">
    <w:pPr>
      <w:pStyle w:val="Header"/>
      <w:tabs>
        <w:tab w:val="clear" w:pos="4513"/>
        <w:tab w:val="center" w:pos="2127"/>
      </w:tabs>
      <w:spacing w:after="240" w:line="312" w:lineRule="auto"/>
      <w:rPr>
        <w:rFonts w:cstheme="minorHAnsi"/>
        <w:color w:val="000000"/>
        <w:shd w:val="clear" w:color="auto" w:fill="FFFFFF"/>
      </w:rPr>
    </w:pPr>
    <w:r w:rsidRPr="00BE43C8">
      <w:rPr>
        <w:rFonts w:cstheme="minorHAnsi"/>
        <w:color w:val="000000"/>
        <w:shd w:val="clear" w:color="auto" w:fill="FFFFFF"/>
      </w:rPr>
      <w:t>Website:</w:t>
    </w:r>
    <w:r>
      <w:rPr>
        <w:rFonts w:cstheme="minorHAnsi"/>
        <w:color w:val="000000"/>
        <w:shd w:val="clear" w:color="auto" w:fill="FFFFFF"/>
      </w:rPr>
      <w:t xml:space="preserve"> </w:t>
    </w:r>
    <w:r>
      <w:rPr>
        <w:rFonts w:cstheme="minorHAnsi"/>
        <w:color w:val="000000"/>
        <w:shd w:val="clear" w:color="auto" w:fill="FFFFFF"/>
      </w:rPr>
      <w:tab/>
    </w:r>
    <w:hyperlink r:id="rId3" w:history="1">
      <w:r w:rsidRPr="00BE43C8">
        <w:rPr>
          <w:rStyle w:val="Hyperlink"/>
          <w:rFonts w:cstheme="minorHAnsi"/>
          <w:shd w:val="clear" w:color="auto" w:fill="FFFFFF"/>
        </w:rPr>
        <w:t>artsaccess.com.au</w:t>
      </w:r>
    </w:hyperlink>
  </w:p>
  <w:p w14:paraId="5288F7FD" w14:textId="77777777" w:rsidR="00B17EA2" w:rsidRDefault="00B17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75B"/>
    <w:multiLevelType w:val="hybridMultilevel"/>
    <w:tmpl w:val="A49C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773"/>
    <w:multiLevelType w:val="hybridMultilevel"/>
    <w:tmpl w:val="FA8A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F295A"/>
    <w:multiLevelType w:val="hybridMultilevel"/>
    <w:tmpl w:val="2C0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36835"/>
    <w:multiLevelType w:val="hybridMultilevel"/>
    <w:tmpl w:val="3FC6FDB2"/>
    <w:lvl w:ilvl="0" w:tplc="320684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7C9A"/>
    <w:multiLevelType w:val="hybridMultilevel"/>
    <w:tmpl w:val="0B78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7718"/>
    <w:multiLevelType w:val="hybridMultilevel"/>
    <w:tmpl w:val="6894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550E"/>
    <w:multiLevelType w:val="hybridMultilevel"/>
    <w:tmpl w:val="6C4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A2F"/>
    <w:multiLevelType w:val="hybridMultilevel"/>
    <w:tmpl w:val="745A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2170B"/>
    <w:multiLevelType w:val="hybridMultilevel"/>
    <w:tmpl w:val="905A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E0B67"/>
    <w:multiLevelType w:val="multilevel"/>
    <w:tmpl w:val="0809001D"/>
    <w:styleLink w:val="List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3B1EB2"/>
    <w:multiLevelType w:val="hybridMultilevel"/>
    <w:tmpl w:val="B956CC3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2E4D0E82"/>
    <w:multiLevelType w:val="hybridMultilevel"/>
    <w:tmpl w:val="69B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100F"/>
    <w:multiLevelType w:val="hybridMultilevel"/>
    <w:tmpl w:val="7710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00865"/>
    <w:multiLevelType w:val="hybridMultilevel"/>
    <w:tmpl w:val="7E0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2940"/>
    <w:multiLevelType w:val="hybridMultilevel"/>
    <w:tmpl w:val="920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60ABF"/>
    <w:multiLevelType w:val="hybridMultilevel"/>
    <w:tmpl w:val="DC3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A6396"/>
    <w:multiLevelType w:val="hybridMultilevel"/>
    <w:tmpl w:val="90D6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92A0C"/>
    <w:multiLevelType w:val="hybridMultilevel"/>
    <w:tmpl w:val="A2EC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722A6"/>
    <w:multiLevelType w:val="hybridMultilevel"/>
    <w:tmpl w:val="0AFC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31DE1"/>
    <w:multiLevelType w:val="hybridMultilevel"/>
    <w:tmpl w:val="18D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21F11"/>
    <w:multiLevelType w:val="hybridMultilevel"/>
    <w:tmpl w:val="0106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60AC0"/>
    <w:multiLevelType w:val="hybridMultilevel"/>
    <w:tmpl w:val="147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72C9C"/>
    <w:multiLevelType w:val="hybridMultilevel"/>
    <w:tmpl w:val="12B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66AE6"/>
    <w:multiLevelType w:val="hybridMultilevel"/>
    <w:tmpl w:val="0980C14C"/>
    <w:lvl w:ilvl="0" w:tplc="297028F0">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B5D73"/>
    <w:multiLevelType w:val="hybridMultilevel"/>
    <w:tmpl w:val="ACD2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77555"/>
    <w:multiLevelType w:val="hybridMultilevel"/>
    <w:tmpl w:val="36C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72DDA"/>
    <w:multiLevelType w:val="hybridMultilevel"/>
    <w:tmpl w:val="5448A35E"/>
    <w:lvl w:ilvl="0" w:tplc="FAFC18D2">
      <w:start w:val="1"/>
      <w:numFmt w:val="bullet"/>
      <w:pStyle w:val="ListParagraph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387000">
    <w:abstractNumId w:val="9"/>
  </w:num>
  <w:num w:numId="2" w16cid:durableId="581836036">
    <w:abstractNumId w:val="25"/>
  </w:num>
  <w:num w:numId="3" w16cid:durableId="1197961201">
    <w:abstractNumId w:val="1"/>
  </w:num>
  <w:num w:numId="4" w16cid:durableId="422530969">
    <w:abstractNumId w:val="24"/>
  </w:num>
  <w:num w:numId="5" w16cid:durableId="1231499478">
    <w:abstractNumId w:val="15"/>
  </w:num>
  <w:num w:numId="6" w16cid:durableId="343825599">
    <w:abstractNumId w:val="12"/>
  </w:num>
  <w:num w:numId="7" w16cid:durableId="167452408">
    <w:abstractNumId w:val="19"/>
  </w:num>
  <w:num w:numId="8" w16cid:durableId="756291819">
    <w:abstractNumId w:val="21"/>
  </w:num>
  <w:num w:numId="9" w16cid:durableId="1392537842">
    <w:abstractNumId w:val="5"/>
  </w:num>
  <w:num w:numId="10" w16cid:durableId="1522666862">
    <w:abstractNumId w:val="0"/>
  </w:num>
  <w:num w:numId="11" w16cid:durableId="92677596">
    <w:abstractNumId w:val="16"/>
  </w:num>
  <w:num w:numId="12" w16cid:durableId="1816334899">
    <w:abstractNumId w:val="4"/>
  </w:num>
  <w:num w:numId="13" w16cid:durableId="2039238156">
    <w:abstractNumId w:val="18"/>
  </w:num>
  <w:num w:numId="14" w16cid:durableId="1953896218">
    <w:abstractNumId w:val="6"/>
  </w:num>
  <w:num w:numId="15" w16cid:durableId="1130125358">
    <w:abstractNumId w:val="2"/>
  </w:num>
  <w:num w:numId="16" w16cid:durableId="1626157324">
    <w:abstractNumId w:val="14"/>
  </w:num>
  <w:num w:numId="17" w16cid:durableId="803622562">
    <w:abstractNumId w:val="22"/>
  </w:num>
  <w:num w:numId="18" w16cid:durableId="1499689833">
    <w:abstractNumId w:val="13"/>
  </w:num>
  <w:num w:numId="19" w16cid:durableId="682511063">
    <w:abstractNumId w:val="20"/>
  </w:num>
  <w:num w:numId="20" w16cid:durableId="479467394">
    <w:abstractNumId w:val="7"/>
  </w:num>
  <w:num w:numId="21" w16cid:durableId="1747726252">
    <w:abstractNumId w:val="8"/>
  </w:num>
  <w:num w:numId="22" w16cid:durableId="2146308741">
    <w:abstractNumId w:val="17"/>
  </w:num>
  <w:num w:numId="23" w16cid:durableId="62529563">
    <w:abstractNumId w:val="26"/>
  </w:num>
  <w:num w:numId="24" w16cid:durableId="1699548743">
    <w:abstractNumId w:val="11"/>
  </w:num>
  <w:num w:numId="25" w16cid:durableId="1806896996">
    <w:abstractNumId w:val="23"/>
  </w:num>
  <w:num w:numId="26" w16cid:durableId="1215462512">
    <w:abstractNumId w:val="3"/>
  </w:num>
  <w:num w:numId="27" w16cid:durableId="202829380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7B"/>
    <w:rsid w:val="000160C6"/>
    <w:rsid w:val="000225A7"/>
    <w:rsid w:val="00034144"/>
    <w:rsid w:val="0006061A"/>
    <w:rsid w:val="00070E97"/>
    <w:rsid w:val="0008110C"/>
    <w:rsid w:val="0008125E"/>
    <w:rsid w:val="00091C27"/>
    <w:rsid w:val="000C078E"/>
    <w:rsid w:val="000C5AC1"/>
    <w:rsid w:val="000D42C4"/>
    <w:rsid w:val="000F2450"/>
    <w:rsid w:val="000F3341"/>
    <w:rsid w:val="0010061A"/>
    <w:rsid w:val="00105050"/>
    <w:rsid w:val="001138E4"/>
    <w:rsid w:val="00116111"/>
    <w:rsid w:val="00117F50"/>
    <w:rsid w:val="00121D9C"/>
    <w:rsid w:val="00123D95"/>
    <w:rsid w:val="00135197"/>
    <w:rsid w:val="00152085"/>
    <w:rsid w:val="001673E8"/>
    <w:rsid w:val="0017413E"/>
    <w:rsid w:val="00175DFF"/>
    <w:rsid w:val="00187A7F"/>
    <w:rsid w:val="00192993"/>
    <w:rsid w:val="00193293"/>
    <w:rsid w:val="00196D52"/>
    <w:rsid w:val="001C23C3"/>
    <w:rsid w:val="001D3148"/>
    <w:rsid w:val="001E1F60"/>
    <w:rsid w:val="001E23B3"/>
    <w:rsid w:val="001E7DF6"/>
    <w:rsid w:val="001F3E2F"/>
    <w:rsid w:val="001F4561"/>
    <w:rsid w:val="001F6EA9"/>
    <w:rsid w:val="00201A4A"/>
    <w:rsid w:val="00206A0D"/>
    <w:rsid w:val="002070EE"/>
    <w:rsid w:val="00212FD6"/>
    <w:rsid w:val="00227CFA"/>
    <w:rsid w:val="0023086F"/>
    <w:rsid w:val="002323F2"/>
    <w:rsid w:val="00255257"/>
    <w:rsid w:val="00256AB9"/>
    <w:rsid w:val="00260D39"/>
    <w:rsid w:val="002641AB"/>
    <w:rsid w:val="00266A58"/>
    <w:rsid w:val="00274E31"/>
    <w:rsid w:val="00295841"/>
    <w:rsid w:val="002B6A98"/>
    <w:rsid w:val="002C3FC6"/>
    <w:rsid w:val="002C693B"/>
    <w:rsid w:val="002D38F1"/>
    <w:rsid w:val="002E7AC5"/>
    <w:rsid w:val="002F0EC8"/>
    <w:rsid w:val="002F6511"/>
    <w:rsid w:val="00300159"/>
    <w:rsid w:val="003010CE"/>
    <w:rsid w:val="00307691"/>
    <w:rsid w:val="00311721"/>
    <w:rsid w:val="0031234F"/>
    <w:rsid w:val="0032281E"/>
    <w:rsid w:val="003249AF"/>
    <w:rsid w:val="00325987"/>
    <w:rsid w:val="0032650F"/>
    <w:rsid w:val="003332B1"/>
    <w:rsid w:val="003464A1"/>
    <w:rsid w:val="0035144D"/>
    <w:rsid w:val="00356DF9"/>
    <w:rsid w:val="00357770"/>
    <w:rsid w:val="00381A72"/>
    <w:rsid w:val="003827DD"/>
    <w:rsid w:val="0038646E"/>
    <w:rsid w:val="003A6D2D"/>
    <w:rsid w:val="003B1D86"/>
    <w:rsid w:val="003B3294"/>
    <w:rsid w:val="003C1F31"/>
    <w:rsid w:val="003D194C"/>
    <w:rsid w:val="003D1D88"/>
    <w:rsid w:val="003E4CC5"/>
    <w:rsid w:val="003F24AE"/>
    <w:rsid w:val="00404A61"/>
    <w:rsid w:val="004142E5"/>
    <w:rsid w:val="00425787"/>
    <w:rsid w:val="00434266"/>
    <w:rsid w:val="004442BB"/>
    <w:rsid w:val="00446D7B"/>
    <w:rsid w:val="0046188C"/>
    <w:rsid w:val="00471348"/>
    <w:rsid w:val="004839B9"/>
    <w:rsid w:val="00483FED"/>
    <w:rsid w:val="004842BD"/>
    <w:rsid w:val="00485555"/>
    <w:rsid w:val="004A4688"/>
    <w:rsid w:val="004B7BB5"/>
    <w:rsid w:val="004C6FE1"/>
    <w:rsid w:val="004D15E0"/>
    <w:rsid w:val="004D63DF"/>
    <w:rsid w:val="004D761C"/>
    <w:rsid w:val="004E3173"/>
    <w:rsid w:val="004F1FF1"/>
    <w:rsid w:val="004F2413"/>
    <w:rsid w:val="004F5CB1"/>
    <w:rsid w:val="005075AD"/>
    <w:rsid w:val="00525DCB"/>
    <w:rsid w:val="005439FC"/>
    <w:rsid w:val="00544084"/>
    <w:rsid w:val="00571990"/>
    <w:rsid w:val="00585D75"/>
    <w:rsid w:val="00597701"/>
    <w:rsid w:val="005A0438"/>
    <w:rsid w:val="005B5DE3"/>
    <w:rsid w:val="005C0C14"/>
    <w:rsid w:val="005C600B"/>
    <w:rsid w:val="005D4B4A"/>
    <w:rsid w:val="005D63EC"/>
    <w:rsid w:val="005E7472"/>
    <w:rsid w:val="005F01DF"/>
    <w:rsid w:val="005F05B4"/>
    <w:rsid w:val="005F1562"/>
    <w:rsid w:val="00607951"/>
    <w:rsid w:val="00622029"/>
    <w:rsid w:val="00633F47"/>
    <w:rsid w:val="00652B0A"/>
    <w:rsid w:val="00672BE6"/>
    <w:rsid w:val="0068173B"/>
    <w:rsid w:val="006866FB"/>
    <w:rsid w:val="006938FB"/>
    <w:rsid w:val="00696FD2"/>
    <w:rsid w:val="0069774D"/>
    <w:rsid w:val="006A371C"/>
    <w:rsid w:val="006A4081"/>
    <w:rsid w:val="006B1D14"/>
    <w:rsid w:val="006C1B27"/>
    <w:rsid w:val="006C4AEB"/>
    <w:rsid w:val="006C71A9"/>
    <w:rsid w:val="006F649E"/>
    <w:rsid w:val="00714A15"/>
    <w:rsid w:val="00715168"/>
    <w:rsid w:val="00717EAB"/>
    <w:rsid w:val="00732AEF"/>
    <w:rsid w:val="00751536"/>
    <w:rsid w:val="00762F80"/>
    <w:rsid w:val="00770A32"/>
    <w:rsid w:val="00772470"/>
    <w:rsid w:val="0077366E"/>
    <w:rsid w:val="00794DB8"/>
    <w:rsid w:val="0079655E"/>
    <w:rsid w:val="007A26FC"/>
    <w:rsid w:val="007A432C"/>
    <w:rsid w:val="007B0ED9"/>
    <w:rsid w:val="007C0737"/>
    <w:rsid w:val="007C64A8"/>
    <w:rsid w:val="007E35BA"/>
    <w:rsid w:val="007E6482"/>
    <w:rsid w:val="007F40AA"/>
    <w:rsid w:val="007F62E6"/>
    <w:rsid w:val="0080551B"/>
    <w:rsid w:val="00806309"/>
    <w:rsid w:val="00817754"/>
    <w:rsid w:val="008241C7"/>
    <w:rsid w:val="008279A4"/>
    <w:rsid w:val="00841E09"/>
    <w:rsid w:val="00847366"/>
    <w:rsid w:val="0085340F"/>
    <w:rsid w:val="00867415"/>
    <w:rsid w:val="00887377"/>
    <w:rsid w:val="00895281"/>
    <w:rsid w:val="00896E03"/>
    <w:rsid w:val="008A2C2A"/>
    <w:rsid w:val="008A5AB7"/>
    <w:rsid w:val="008B7950"/>
    <w:rsid w:val="008F02C3"/>
    <w:rsid w:val="008F4577"/>
    <w:rsid w:val="008F5E6B"/>
    <w:rsid w:val="008F7F12"/>
    <w:rsid w:val="0090092F"/>
    <w:rsid w:val="009030B7"/>
    <w:rsid w:val="00903FF8"/>
    <w:rsid w:val="00904F8E"/>
    <w:rsid w:val="00905B26"/>
    <w:rsid w:val="00910DF5"/>
    <w:rsid w:val="009141CD"/>
    <w:rsid w:val="009179C5"/>
    <w:rsid w:val="00924165"/>
    <w:rsid w:val="00924EBE"/>
    <w:rsid w:val="00931670"/>
    <w:rsid w:val="009472AB"/>
    <w:rsid w:val="0095268E"/>
    <w:rsid w:val="0095710B"/>
    <w:rsid w:val="00957439"/>
    <w:rsid w:val="00966099"/>
    <w:rsid w:val="00985ED5"/>
    <w:rsid w:val="00992D85"/>
    <w:rsid w:val="0099566D"/>
    <w:rsid w:val="0099785B"/>
    <w:rsid w:val="009B7C27"/>
    <w:rsid w:val="009C7811"/>
    <w:rsid w:val="009D0608"/>
    <w:rsid w:val="009D0D1D"/>
    <w:rsid w:val="009D6FF0"/>
    <w:rsid w:val="009E02FA"/>
    <w:rsid w:val="009E58B7"/>
    <w:rsid w:val="00A016C3"/>
    <w:rsid w:val="00A05CB4"/>
    <w:rsid w:val="00A06D60"/>
    <w:rsid w:val="00A20BEC"/>
    <w:rsid w:val="00A264BB"/>
    <w:rsid w:val="00A2666D"/>
    <w:rsid w:val="00A4530C"/>
    <w:rsid w:val="00A66C4D"/>
    <w:rsid w:val="00A746B8"/>
    <w:rsid w:val="00A82106"/>
    <w:rsid w:val="00A84226"/>
    <w:rsid w:val="00A951DC"/>
    <w:rsid w:val="00A97EAD"/>
    <w:rsid w:val="00AB0C33"/>
    <w:rsid w:val="00AB1806"/>
    <w:rsid w:val="00AC4E7B"/>
    <w:rsid w:val="00AD30C1"/>
    <w:rsid w:val="00AE705F"/>
    <w:rsid w:val="00AF48D7"/>
    <w:rsid w:val="00AF5E6F"/>
    <w:rsid w:val="00AF6464"/>
    <w:rsid w:val="00B17EA2"/>
    <w:rsid w:val="00B21999"/>
    <w:rsid w:val="00B3186D"/>
    <w:rsid w:val="00B35950"/>
    <w:rsid w:val="00B521E5"/>
    <w:rsid w:val="00B538F2"/>
    <w:rsid w:val="00B546A6"/>
    <w:rsid w:val="00B56600"/>
    <w:rsid w:val="00B620D6"/>
    <w:rsid w:val="00B71175"/>
    <w:rsid w:val="00B91A50"/>
    <w:rsid w:val="00B94884"/>
    <w:rsid w:val="00B95D70"/>
    <w:rsid w:val="00BB6C8C"/>
    <w:rsid w:val="00BC5EEB"/>
    <w:rsid w:val="00BD38D2"/>
    <w:rsid w:val="00BE0FCA"/>
    <w:rsid w:val="00BF07C4"/>
    <w:rsid w:val="00BF691E"/>
    <w:rsid w:val="00C04283"/>
    <w:rsid w:val="00C209A1"/>
    <w:rsid w:val="00C21079"/>
    <w:rsid w:val="00C23D74"/>
    <w:rsid w:val="00C31172"/>
    <w:rsid w:val="00C33A79"/>
    <w:rsid w:val="00C36076"/>
    <w:rsid w:val="00C50E37"/>
    <w:rsid w:val="00C5642D"/>
    <w:rsid w:val="00C57562"/>
    <w:rsid w:val="00C66B9A"/>
    <w:rsid w:val="00C70321"/>
    <w:rsid w:val="00C70C5F"/>
    <w:rsid w:val="00C74BC9"/>
    <w:rsid w:val="00C923EB"/>
    <w:rsid w:val="00C96425"/>
    <w:rsid w:val="00CA11CE"/>
    <w:rsid w:val="00CA3412"/>
    <w:rsid w:val="00CB1979"/>
    <w:rsid w:val="00CC376C"/>
    <w:rsid w:val="00CD4BDC"/>
    <w:rsid w:val="00CE7BDB"/>
    <w:rsid w:val="00CF3363"/>
    <w:rsid w:val="00D06B3B"/>
    <w:rsid w:val="00D12F5A"/>
    <w:rsid w:val="00D23306"/>
    <w:rsid w:val="00D30936"/>
    <w:rsid w:val="00D42201"/>
    <w:rsid w:val="00D47F3D"/>
    <w:rsid w:val="00D57CBA"/>
    <w:rsid w:val="00D60275"/>
    <w:rsid w:val="00D71257"/>
    <w:rsid w:val="00D777D6"/>
    <w:rsid w:val="00D930A4"/>
    <w:rsid w:val="00D961AF"/>
    <w:rsid w:val="00DA1422"/>
    <w:rsid w:val="00DA5C63"/>
    <w:rsid w:val="00DA6852"/>
    <w:rsid w:val="00DB33E7"/>
    <w:rsid w:val="00DC09DF"/>
    <w:rsid w:val="00DC6124"/>
    <w:rsid w:val="00DE4F0D"/>
    <w:rsid w:val="00DE5A46"/>
    <w:rsid w:val="00DF1ED4"/>
    <w:rsid w:val="00DF5E0D"/>
    <w:rsid w:val="00E01A9C"/>
    <w:rsid w:val="00E01B98"/>
    <w:rsid w:val="00E134E5"/>
    <w:rsid w:val="00E309DC"/>
    <w:rsid w:val="00E34572"/>
    <w:rsid w:val="00E36825"/>
    <w:rsid w:val="00E3743B"/>
    <w:rsid w:val="00E53AD1"/>
    <w:rsid w:val="00E54836"/>
    <w:rsid w:val="00E56ACC"/>
    <w:rsid w:val="00E64C52"/>
    <w:rsid w:val="00E65164"/>
    <w:rsid w:val="00E706A0"/>
    <w:rsid w:val="00E70BFE"/>
    <w:rsid w:val="00E724A8"/>
    <w:rsid w:val="00E83F7E"/>
    <w:rsid w:val="00E84293"/>
    <w:rsid w:val="00E86DD2"/>
    <w:rsid w:val="00E96980"/>
    <w:rsid w:val="00EA2E88"/>
    <w:rsid w:val="00EB089C"/>
    <w:rsid w:val="00EF3DC0"/>
    <w:rsid w:val="00EF4087"/>
    <w:rsid w:val="00EF7E07"/>
    <w:rsid w:val="00F06886"/>
    <w:rsid w:val="00F31935"/>
    <w:rsid w:val="00F3690A"/>
    <w:rsid w:val="00F43352"/>
    <w:rsid w:val="00F5227B"/>
    <w:rsid w:val="00F53B58"/>
    <w:rsid w:val="00F6255C"/>
    <w:rsid w:val="00F75D54"/>
    <w:rsid w:val="00F82B77"/>
    <w:rsid w:val="00F86FDD"/>
    <w:rsid w:val="00F87616"/>
    <w:rsid w:val="00FA4D4B"/>
    <w:rsid w:val="00FB6552"/>
    <w:rsid w:val="00FB694F"/>
    <w:rsid w:val="00FD6FD5"/>
    <w:rsid w:val="00FE63E6"/>
    <w:rsid w:val="00FF264C"/>
    <w:rsid w:val="014D91B4"/>
    <w:rsid w:val="01EDCA21"/>
    <w:rsid w:val="02BF3E69"/>
    <w:rsid w:val="051D29B9"/>
    <w:rsid w:val="07610F04"/>
    <w:rsid w:val="0981BFC2"/>
    <w:rsid w:val="09C12FA4"/>
    <w:rsid w:val="0A8E6DA9"/>
    <w:rsid w:val="0AE20FB9"/>
    <w:rsid w:val="0BC5548A"/>
    <w:rsid w:val="0D85DEE4"/>
    <w:rsid w:val="0F311598"/>
    <w:rsid w:val="1027F57E"/>
    <w:rsid w:val="11272E9C"/>
    <w:rsid w:val="120B137B"/>
    <w:rsid w:val="13208E3F"/>
    <w:rsid w:val="137DE422"/>
    <w:rsid w:val="13BDFF5B"/>
    <w:rsid w:val="1419B954"/>
    <w:rsid w:val="158DD0CF"/>
    <w:rsid w:val="159837C0"/>
    <w:rsid w:val="160C367A"/>
    <w:rsid w:val="16933C14"/>
    <w:rsid w:val="18326B6C"/>
    <w:rsid w:val="1C86B54C"/>
    <w:rsid w:val="1CB2FBCE"/>
    <w:rsid w:val="1D353BB4"/>
    <w:rsid w:val="1F1DCFB6"/>
    <w:rsid w:val="1F67A445"/>
    <w:rsid w:val="208B1EA1"/>
    <w:rsid w:val="2151F011"/>
    <w:rsid w:val="21D35F5A"/>
    <w:rsid w:val="228A12EF"/>
    <w:rsid w:val="23B909A8"/>
    <w:rsid w:val="24C7CEF1"/>
    <w:rsid w:val="25CFC7CF"/>
    <w:rsid w:val="26008013"/>
    <w:rsid w:val="267516DA"/>
    <w:rsid w:val="277D721B"/>
    <w:rsid w:val="27B5E84C"/>
    <w:rsid w:val="2A4F2AB9"/>
    <w:rsid w:val="2AE3A7A7"/>
    <w:rsid w:val="2AE59EBB"/>
    <w:rsid w:val="2CAF9B8E"/>
    <w:rsid w:val="2D39A1F4"/>
    <w:rsid w:val="2D42AFA4"/>
    <w:rsid w:val="2E5E6648"/>
    <w:rsid w:val="2E7BC996"/>
    <w:rsid w:val="2EE7D863"/>
    <w:rsid w:val="2FB0B605"/>
    <w:rsid w:val="304688B6"/>
    <w:rsid w:val="317FD5A9"/>
    <w:rsid w:val="320DE617"/>
    <w:rsid w:val="3215DE96"/>
    <w:rsid w:val="3229E34D"/>
    <w:rsid w:val="32FAE794"/>
    <w:rsid w:val="33FDCF75"/>
    <w:rsid w:val="37F47F39"/>
    <w:rsid w:val="38489538"/>
    <w:rsid w:val="38CDA00D"/>
    <w:rsid w:val="38F092E4"/>
    <w:rsid w:val="39048B69"/>
    <w:rsid w:val="3D2F7D62"/>
    <w:rsid w:val="3D881F70"/>
    <w:rsid w:val="3DDA069B"/>
    <w:rsid w:val="3DF66C3C"/>
    <w:rsid w:val="3F9A4EC2"/>
    <w:rsid w:val="40752B3E"/>
    <w:rsid w:val="413EC3BA"/>
    <w:rsid w:val="441D592E"/>
    <w:rsid w:val="44758E8F"/>
    <w:rsid w:val="4561A314"/>
    <w:rsid w:val="467FF89C"/>
    <w:rsid w:val="46A03FA0"/>
    <w:rsid w:val="46BD3F77"/>
    <w:rsid w:val="47820C4E"/>
    <w:rsid w:val="49765316"/>
    <w:rsid w:val="4A1CDE79"/>
    <w:rsid w:val="4A4E4464"/>
    <w:rsid w:val="4C23F2D1"/>
    <w:rsid w:val="4E68B52A"/>
    <w:rsid w:val="4F051968"/>
    <w:rsid w:val="50FAB337"/>
    <w:rsid w:val="514BF4CD"/>
    <w:rsid w:val="5260F43F"/>
    <w:rsid w:val="5288F464"/>
    <w:rsid w:val="537CF5DD"/>
    <w:rsid w:val="539B72F0"/>
    <w:rsid w:val="53C5B928"/>
    <w:rsid w:val="54E0C0C9"/>
    <w:rsid w:val="55DEEA38"/>
    <w:rsid w:val="594A92BA"/>
    <w:rsid w:val="5A926130"/>
    <w:rsid w:val="5BCA851A"/>
    <w:rsid w:val="5C472DF4"/>
    <w:rsid w:val="5C9F01D7"/>
    <w:rsid w:val="5C9FE9A2"/>
    <w:rsid w:val="5CB0E361"/>
    <w:rsid w:val="5F28E683"/>
    <w:rsid w:val="618B9CB5"/>
    <w:rsid w:val="62604210"/>
    <w:rsid w:val="626129DB"/>
    <w:rsid w:val="663D8369"/>
    <w:rsid w:val="664E8858"/>
    <w:rsid w:val="66627F24"/>
    <w:rsid w:val="6BB87EA1"/>
    <w:rsid w:val="6DA3B432"/>
    <w:rsid w:val="6FC1078B"/>
    <w:rsid w:val="70126828"/>
    <w:rsid w:val="704A9E9B"/>
    <w:rsid w:val="70E0C126"/>
    <w:rsid w:val="711A6004"/>
    <w:rsid w:val="716F409B"/>
    <w:rsid w:val="723D3813"/>
    <w:rsid w:val="72AF2A35"/>
    <w:rsid w:val="72F276BE"/>
    <w:rsid w:val="7385F6F4"/>
    <w:rsid w:val="73F78CCD"/>
    <w:rsid w:val="7731B736"/>
    <w:rsid w:val="77E6D0B4"/>
    <w:rsid w:val="78F83C7A"/>
    <w:rsid w:val="79B91C8D"/>
    <w:rsid w:val="79D0F5FA"/>
    <w:rsid w:val="7AB88A1C"/>
    <w:rsid w:val="7C009F6A"/>
    <w:rsid w:val="7D0E9AF5"/>
    <w:rsid w:val="7DB2C206"/>
    <w:rsid w:val="7E344FF5"/>
    <w:rsid w:val="7E3FD3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8EBE"/>
  <w15:chartTrackingRefBased/>
  <w15:docId w15:val="{FB5AEDA1-81B6-8D48-9FCA-6E1DE7DF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1E"/>
    <w:pPr>
      <w:spacing w:before="240" w:after="240" w:line="276" w:lineRule="auto"/>
    </w:pPr>
    <w:rPr>
      <w:kern w:val="2"/>
      <w:sz w:val="24"/>
      <w:szCs w:val="24"/>
      <w14:ligatures w14:val="standardContextual"/>
    </w:rPr>
  </w:style>
  <w:style w:type="paragraph" w:styleId="Heading1">
    <w:name w:val="heading 1"/>
    <w:basedOn w:val="Normal"/>
    <w:next w:val="Normal"/>
    <w:link w:val="Heading1Char"/>
    <w:uiPriority w:val="9"/>
    <w:qFormat/>
    <w:rsid w:val="00924165"/>
    <w:pPr>
      <w:spacing w:before="120" w:after="120"/>
      <w:outlineLvl w:val="0"/>
    </w:pPr>
    <w:rPr>
      <w:b/>
      <w:bCs/>
      <w:sz w:val="48"/>
    </w:rPr>
  </w:style>
  <w:style w:type="paragraph" w:styleId="Heading2">
    <w:name w:val="heading 2"/>
    <w:basedOn w:val="Normal"/>
    <w:next w:val="Normal"/>
    <w:link w:val="Heading2Char"/>
    <w:uiPriority w:val="9"/>
    <w:unhideWhenUsed/>
    <w:qFormat/>
    <w:rsid w:val="00924165"/>
    <w:pPr>
      <w:keepNext/>
      <w:keepLines/>
      <w:spacing w:before="120" w:after="120"/>
      <w:outlineLvl w:val="1"/>
    </w:pPr>
    <w:rPr>
      <w:rFonts w:eastAsiaTheme="majorEastAsia" w:cstheme="majorBidi"/>
      <w:b/>
      <w:sz w:val="40"/>
      <w:szCs w:val="26"/>
    </w:rPr>
  </w:style>
  <w:style w:type="paragraph" w:styleId="Heading3">
    <w:name w:val="heading 3"/>
    <w:basedOn w:val="Normal"/>
    <w:next w:val="Normal"/>
    <w:link w:val="Heading3Char"/>
    <w:uiPriority w:val="9"/>
    <w:unhideWhenUsed/>
    <w:qFormat/>
    <w:rsid w:val="00924165"/>
    <w:pPr>
      <w:keepNext/>
      <w:keepLines/>
      <w:spacing w:before="120" w:after="120"/>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446D7B"/>
    <w:pPr>
      <w:keepNext/>
      <w:keepLines/>
      <w:spacing w:before="40" w:after="0"/>
      <w:outlineLvl w:val="3"/>
    </w:pPr>
    <w:rPr>
      <w:rFonts w:asciiTheme="majorHAnsi" w:eastAsiaTheme="majorEastAsia" w:hAnsiTheme="majorHAnsi" w:cstheme="majorBidi"/>
      <w:iCs/>
      <w:color w:val="000000" w:themeColor="text1"/>
      <w:sz w:val="28"/>
    </w:rPr>
  </w:style>
  <w:style w:type="paragraph" w:styleId="Heading5">
    <w:name w:val="heading 5"/>
    <w:basedOn w:val="Normal"/>
    <w:next w:val="Normal"/>
    <w:link w:val="Heading5Char"/>
    <w:uiPriority w:val="9"/>
    <w:unhideWhenUsed/>
    <w:qFormat/>
    <w:rsid w:val="0068173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173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5C6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65"/>
    <w:rPr>
      <w:b/>
      <w:bCs/>
      <w:sz w:val="48"/>
      <w:szCs w:val="24"/>
    </w:rPr>
  </w:style>
  <w:style w:type="character" w:customStyle="1" w:styleId="Heading2Char">
    <w:name w:val="Heading 2 Char"/>
    <w:basedOn w:val="DefaultParagraphFont"/>
    <w:link w:val="Heading2"/>
    <w:uiPriority w:val="9"/>
    <w:rsid w:val="00924165"/>
    <w:rPr>
      <w:rFonts w:eastAsiaTheme="majorEastAsia" w:cstheme="majorBidi"/>
      <w:b/>
      <w:sz w:val="40"/>
      <w:szCs w:val="26"/>
    </w:rPr>
  </w:style>
  <w:style w:type="character" w:customStyle="1" w:styleId="Heading3Char">
    <w:name w:val="Heading 3 Char"/>
    <w:basedOn w:val="DefaultParagraphFont"/>
    <w:link w:val="Heading3"/>
    <w:uiPriority w:val="9"/>
    <w:rsid w:val="00924165"/>
    <w:rPr>
      <w:rFonts w:eastAsiaTheme="majorEastAsia" w:cstheme="majorBidi"/>
      <w:b/>
      <w:color w:val="000000" w:themeColor="text1"/>
      <w:sz w:val="32"/>
      <w:szCs w:val="24"/>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ListParagraph2"/>
    <w:link w:val="ListParagraphChar"/>
    <w:uiPriority w:val="34"/>
    <w:qFormat/>
    <w:rsid w:val="00C923EB"/>
  </w:style>
  <w:style w:type="paragraph" w:styleId="Header">
    <w:name w:val="header"/>
    <w:basedOn w:val="Normal"/>
    <w:link w:val="HeaderChar"/>
    <w:uiPriority w:val="99"/>
    <w:unhideWhenUsed/>
    <w:rsid w:val="003D19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194C"/>
    <w:rPr>
      <w:sz w:val="24"/>
    </w:rPr>
  </w:style>
  <w:style w:type="paragraph" w:styleId="Footer">
    <w:name w:val="footer"/>
    <w:basedOn w:val="Normal"/>
    <w:link w:val="FooterChar"/>
    <w:uiPriority w:val="99"/>
    <w:unhideWhenUsed/>
    <w:rsid w:val="003D19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194C"/>
    <w:rPr>
      <w:sz w:val="24"/>
    </w:rPr>
  </w:style>
  <w:style w:type="character" w:styleId="Hyperlink">
    <w:name w:val="Hyperlink"/>
    <w:basedOn w:val="DefaultParagraphFont"/>
    <w:uiPriority w:val="99"/>
    <w:unhideWhenUsed/>
    <w:rsid w:val="00123D95"/>
    <w:rPr>
      <w:color w:val="0563C1" w:themeColor="hyperlink"/>
      <w:u w:val="single"/>
    </w:rPr>
  </w:style>
  <w:style w:type="character" w:styleId="PlaceholderText">
    <w:name w:val="Placeholder Text"/>
    <w:basedOn w:val="DefaultParagraphFont"/>
    <w:uiPriority w:val="99"/>
    <w:semiHidden/>
    <w:rsid w:val="00A05CB4"/>
    <w:rPr>
      <w:color w:val="808080"/>
    </w:rPr>
  </w:style>
  <w:style w:type="table" w:styleId="TableGrid">
    <w:name w:val="Table Grid"/>
    <w:basedOn w:val="TableNormal"/>
    <w:uiPriority w:val="39"/>
    <w:rsid w:val="002C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1562"/>
    <w:pPr>
      <w:spacing w:before="0" w:line="240" w:lineRule="auto"/>
      <w:contextualSpacing/>
    </w:pPr>
    <w:rPr>
      <w:rFonts w:asciiTheme="majorHAnsi" w:eastAsiaTheme="majorEastAsia" w:hAnsiTheme="majorHAnsi" w:cstheme="majorBidi"/>
      <w:spacing w:val="-10"/>
      <w:kern w:val="28"/>
      <w:sz w:val="64"/>
      <w:szCs w:val="56"/>
    </w:rPr>
  </w:style>
  <w:style w:type="character" w:customStyle="1" w:styleId="TitleChar">
    <w:name w:val="Title Char"/>
    <w:basedOn w:val="DefaultParagraphFont"/>
    <w:link w:val="Title"/>
    <w:uiPriority w:val="10"/>
    <w:rsid w:val="005F1562"/>
    <w:rPr>
      <w:rFonts w:asciiTheme="majorHAnsi" w:eastAsiaTheme="majorEastAsia" w:hAnsiTheme="majorHAnsi" w:cstheme="majorBidi"/>
      <w:spacing w:val="-10"/>
      <w:kern w:val="28"/>
      <w:sz w:val="64"/>
      <w:szCs w:val="56"/>
    </w:rPr>
  </w:style>
  <w:style w:type="character" w:styleId="UnresolvedMention">
    <w:name w:val="Unresolved Mention"/>
    <w:basedOn w:val="DefaultParagraphFont"/>
    <w:uiPriority w:val="99"/>
    <w:semiHidden/>
    <w:unhideWhenUsed/>
    <w:rsid w:val="00F43352"/>
    <w:rPr>
      <w:color w:val="605E5C"/>
      <w:shd w:val="clear" w:color="auto" w:fill="E1DFDD"/>
    </w:rPr>
  </w:style>
  <w:style w:type="paragraph" w:styleId="Subtitle">
    <w:name w:val="Subtitle"/>
    <w:basedOn w:val="Normal"/>
    <w:next w:val="Normal"/>
    <w:link w:val="SubtitleChar"/>
    <w:uiPriority w:val="11"/>
    <w:qFormat/>
    <w:rsid w:val="00992D8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92D85"/>
    <w:rPr>
      <w:rFonts w:eastAsiaTheme="minorEastAsia"/>
      <w:color w:val="5A5A5A" w:themeColor="text1" w:themeTint="A5"/>
      <w:spacing w:val="15"/>
    </w:rPr>
  </w:style>
  <w:style w:type="character" w:customStyle="1" w:styleId="complexword">
    <w:name w:val="complexword"/>
    <w:basedOn w:val="DefaultParagraphFont"/>
    <w:rsid w:val="004F1FF1"/>
  </w:style>
  <w:style w:type="paragraph" w:styleId="NormalWeb">
    <w:name w:val="Normal (Web)"/>
    <w:basedOn w:val="Normal"/>
    <w:uiPriority w:val="99"/>
    <w:unhideWhenUsed/>
    <w:rsid w:val="00714A15"/>
    <w:pPr>
      <w:spacing w:before="100" w:beforeAutospacing="1" w:after="100" w:afterAutospacing="1" w:line="240" w:lineRule="auto"/>
    </w:pPr>
    <w:rPr>
      <w:rFonts w:ascii="Times New Roman" w:eastAsia="Times New Roman" w:hAnsi="Times New Roman" w:cs="Times New Roman"/>
      <w:lang w:eastAsia="en-AU"/>
    </w:rPr>
  </w:style>
  <w:style w:type="numbering" w:customStyle="1" w:styleId="List1">
    <w:name w:val="List1"/>
    <w:basedOn w:val="NoList"/>
    <w:uiPriority w:val="99"/>
    <w:rsid w:val="00F86FDD"/>
    <w:pPr>
      <w:numPr>
        <w:numId w:val="1"/>
      </w:numPr>
    </w:pPr>
  </w:style>
  <w:style w:type="paragraph" w:styleId="NoSpacing">
    <w:name w:val="No Spacing"/>
    <w:uiPriority w:val="1"/>
    <w:qFormat/>
    <w:rsid w:val="005B5DE3"/>
    <w:pPr>
      <w:spacing w:after="0" w:line="312" w:lineRule="auto"/>
      <w:contextualSpacing/>
    </w:pPr>
    <w:rPr>
      <w:sz w:val="24"/>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C923EB"/>
    <w:rPr>
      <w:sz w:val="24"/>
    </w:rPr>
  </w:style>
  <w:style w:type="character" w:styleId="Strong">
    <w:name w:val="Strong"/>
    <w:basedOn w:val="DefaultParagraphFont"/>
    <w:uiPriority w:val="22"/>
    <w:qFormat/>
    <w:rsid w:val="00CE7BDB"/>
    <w:rPr>
      <w:b/>
      <w:bCs/>
    </w:rPr>
  </w:style>
  <w:style w:type="character" w:styleId="FollowedHyperlink">
    <w:name w:val="FollowedHyperlink"/>
    <w:basedOn w:val="DefaultParagraphFont"/>
    <w:uiPriority w:val="99"/>
    <w:semiHidden/>
    <w:unhideWhenUsed/>
    <w:rsid w:val="00381A72"/>
    <w:rPr>
      <w:color w:val="954F72" w:themeColor="followedHyperlink"/>
      <w:u w:val="single"/>
    </w:rPr>
  </w:style>
  <w:style w:type="paragraph" w:customStyle="1" w:styleId="ListParagraph2">
    <w:name w:val="List Paragraph2"/>
    <w:basedOn w:val="Normal"/>
    <w:next w:val="ListParagraph"/>
    <w:qFormat/>
    <w:rsid w:val="00924165"/>
    <w:pPr>
      <w:numPr>
        <w:numId w:val="23"/>
      </w:numPr>
      <w:snapToGrid w:val="0"/>
      <w:spacing w:line="360" w:lineRule="auto"/>
      <w:ind w:left="714" w:hanging="357"/>
      <w:contextualSpacing/>
    </w:pPr>
  </w:style>
  <w:style w:type="paragraph" w:styleId="TOCHeading">
    <w:name w:val="TOC Heading"/>
    <w:basedOn w:val="Heading1"/>
    <w:next w:val="Normal"/>
    <w:uiPriority w:val="39"/>
    <w:unhideWhenUsed/>
    <w:qFormat/>
    <w:rsid w:val="003A6D2D"/>
    <w:pPr>
      <w:keepNext/>
      <w:keepLines/>
      <w:spacing w:before="480" w:after="0"/>
      <w:outlineLvl w:val="9"/>
    </w:pPr>
    <w:rPr>
      <w:rFonts w:eastAsiaTheme="majorEastAsia" w:cstheme="majorBidi"/>
      <w:color w:val="2F5496" w:themeColor="accent1" w:themeShade="BF"/>
      <w:sz w:val="28"/>
      <w:szCs w:val="28"/>
      <w:lang w:val="en-US"/>
    </w:rPr>
  </w:style>
  <w:style w:type="paragraph" w:styleId="TOC1">
    <w:name w:val="toc 1"/>
    <w:basedOn w:val="Normal"/>
    <w:next w:val="Normal"/>
    <w:autoRedefine/>
    <w:uiPriority w:val="39"/>
    <w:unhideWhenUsed/>
    <w:rsid w:val="003A6D2D"/>
    <w:pPr>
      <w:spacing w:after="120"/>
    </w:pPr>
    <w:rPr>
      <w:rFonts w:cstheme="minorHAnsi"/>
      <w:b/>
      <w:bCs/>
      <w:sz w:val="20"/>
      <w:szCs w:val="20"/>
    </w:rPr>
  </w:style>
  <w:style w:type="paragraph" w:styleId="TOC2">
    <w:name w:val="toc 2"/>
    <w:basedOn w:val="Normal"/>
    <w:next w:val="Normal"/>
    <w:autoRedefine/>
    <w:uiPriority w:val="39"/>
    <w:unhideWhenUsed/>
    <w:rsid w:val="003A6D2D"/>
    <w:pPr>
      <w:spacing w:before="120" w:after="0"/>
      <w:ind w:left="240"/>
    </w:pPr>
    <w:rPr>
      <w:rFonts w:cstheme="minorHAnsi"/>
      <w:i/>
      <w:iCs/>
      <w:sz w:val="20"/>
      <w:szCs w:val="20"/>
    </w:rPr>
  </w:style>
  <w:style w:type="paragraph" w:styleId="TOC3">
    <w:name w:val="toc 3"/>
    <w:basedOn w:val="Normal"/>
    <w:next w:val="Normal"/>
    <w:autoRedefine/>
    <w:uiPriority w:val="39"/>
    <w:unhideWhenUsed/>
    <w:rsid w:val="003A6D2D"/>
    <w:pPr>
      <w:spacing w:before="0" w:after="0"/>
      <w:ind w:left="480"/>
    </w:pPr>
    <w:rPr>
      <w:rFonts w:cstheme="minorHAnsi"/>
      <w:sz w:val="20"/>
      <w:szCs w:val="20"/>
    </w:rPr>
  </w:style>
  <w:style w:type="paragraph" w:styleId="TOC4">
    <w:name w:val="toc 4"/>
    <w:basedOn w:val="Normal"/>
    <w:next w:val="Normal"/>
    <w:autoRedefine/>
    <w:uiPriority w:val="39"/>
    <w:unhideWhenUsed/>
    <w:rsid w:val="003A6D2D"/>
    <w:pPr>
      <w:spacing w:before="0" w:after="0"/>
      <w:ind w:left="720"/>
    </w:pPr>
    <w:rPr>
      <w:rFonts w:cstheme="minorHAnsi"/>
      <w:sz w:val="20"/>
      <w:szCs w:val="20"/>
    </w:rPr>
  </w:style>
  <w:style w:type="paragraph" w:styleId="TOC5">
    <w:name w:val="toc 5"/>
    <w:basedOn w:val="Normal"/>
    <w:next w:val="Normal"/>
    <w:autoRedefine/>
    <w:uiPriority w:val="39"/>
    <w:unhideWhenUsed/>
    <w:rsid w:val="003A6D2D"/>
    <w:pPr>
      <w:spacing w:before="0" w:after="0"/>
      <w:ind w:left="960"/>
    </w:pPr>
    <w:rPr>
      <w:rFonts w:cstheme="minorHAnsi"/>
      <w:sz w:val="20"/>
      <w:szCs w:val="20"/>
    </w:rPr>
  </w:style>
  <w:style w:type="paragraph" w:styleId="TOC6">
    <w:name w:val="toc 6"/>
    <w:basedOn w:val="Normal"/>
    <w:next w:val="Normal"/>
    <w:autoRedefine/>
    <w:uiPriority w:val="39"/>
    <w:unhideWhenUsed/>
    <w:rsid w:val="003A6D2D"/>
    <w:pPr>
      <w:spacing w:before="0" w:after="0"/>
      <w:ind w:left="1200"/>
    </w:pPr>
    <w:rPr>
      <w:rFonts w:cstheme="minorHAnsi"/>
      <w:sz w:val="20"/>
      <w:szCs w:val="20"/>
    </w:rPr>
  </w:style>
  <w:style w:type="paragraph" w:styleId="TOC7">
    <w:name w:val="toc 7"/>
    <w:basedOn w:val="Normal"/>
    <w:next w:val="Normal"/>
    <w:autoRedefine/>
    <w:uiPriority w:val="39"/>
    <w:unhideWhenUsed/>
    <w:rsid w:val="003A6D2D"/>
    <w:pPr>
      <w:spacing w:before="0" w:after="0"/>
      <w:ind w:left="1440"/>
    </w:pPr>
    <w:rPr>
      <w:rFonts w:cstheme="minorHAnsi"/>
      <w:sz w:val="20"/>
      <w:szCs w:val="20"/>
    </w:rPr>
  </w:style>
  <w:style w:type="paragraph" w:styleId="TOC8">
    <w:name w:val="toc 8"/>
    <w:basedOn w:val="Normal"/>
    <w:next w:val="Normal"/>
    <w:autoRedefine/>
    <w:uiPriority w:val="39"/>
    <w:unhideWhenUsed/>
    <w:rsid w:val="003A6D2D"/>
    <w:pPr>
      <w:spacing w:before="0" w:after="0"/>
      <w:ind w:left="1680"/>
    </w:pPr>
    <w:rPr>
      <w:rFonts w:cstheme="minorHAnsi"/>
      <w:sz w:val="20"/>
      <w:szCs w:val="20"/>
    </w:rPr>
  </w:style>
  <w:style w:type="paragraph" w:styleId="TOC9">
    <w:name w:val="toc 9"/>
    <w:basedOn w:val="Normal"/>
    <w:next w:val="Normal"/>
    <w:autoRedefine/>
    <w:uiPriority w:val="39"/>
    <w:unhideWhenUsed/>
    <w:rsid w:val="003A6D2D"/>
    <w:pPr>
      <w:spacing w:before="0" w:after="0"/>
      <w:ind w:left="1920"/>
    </w:pPr>
    <w:rPr>
      <w:rFonts w:cstheme="minorHAnsi"/>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061A"/>
    <w:pPr>
      <w:spacing w:after="0" w:line="240" w:lineRule="auto"/>
    </w:pPr>
    <w:rPr>
      <w:sz w:val="24"/>
    </w:rPr>
  </w:style>
  <w:style w:type="character" w:customStyle="1" w:styleId="ui-provider">
    <w:name w:val="ui-provider"/>
    <w:basedOn w:val="DefaultParagraphFont"/>
    <w:rsid w:val="00471348"/>
  </w:style>
  <w:style w:type="paragraph" w:customStyle="1" w:styleId="Default">
    <w:name w:val="Default"/>
    <w:rsid w:val="00446D7B"/>
    <w:pPr>
      <w:autoSpaceDE w:val="0"/>
      <w:autoSpaceDN w:val="0"/>
      <w:adjustRightInd w:val="0"/>
      <w:spacing w:after="0" w:line="240" w:lineRule="auto"/>
    </w:pPr>
    <w:rPr>
      <w:rFonts w:ascii="Acumin Pro" w:hAnsi="Acumin Pro" w:cs="Acumin Pro"/>
      <w:color w:val="000000"/>
      <w:sz w:val="24"/>
      <w:szCs w:val="24"/>
      <w:lang w:val="en-GB"/>
    </w:rPr>
  </w:style>
  <w:style w:type="paragraph" w:styleId="Quote">
    <w:name w:val="Quote"/>
    <w:basedOn w:val="Normal"/>
    <w:next w:val="Normal"/>
    <w:link w:val="QuoteChar"/>
    <w:uiPriority w:val="29"/>
    <w:qFormat/>
    <w:rsid w:val="00446D7B"/>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446D7B"/>
    <w:rPr>
      <w:iCs/>
      <w:color w:val="404040" w:themeColor="text1" w:themeTint="BF"/>
      <w:kern w:val="2"/>
      <w:sz w:val="24"/>
      <w:szCs w:val="24"/>
      <w14:ligatures w14:val="standardContextual"/>
    </w:rPr>
  </w:style>
  <w:style w:type="character" w:customStyle="1" w:styleId="Heading4Char">
    <w:name w:val="Heading 4 Char"/>
    <w:basedOn w:val="DefaultParagraphFont"/>
    <w:link w:val="Heading4"/>
    <w:uiPriority w:val="9"/>
    <w:rsid w:val="00446D7B"/>
    <w:rPr>
      <w:rFonts w:asciiTheme="majorHAnsi" w:eastAsiaTheme="majorEastAsia" w:hAnsiTheme="majorHAnsi" w:cstheme="majorBidi"/>
      <w:iCs/>
      <w:color w:val="000000" w:themeColor="text1"/>
      <w:kern w:val="2"/>
      <w:sz w:val="28"/>
      <w:szCs w:val="24"/>
      <w14:ligatures w14:val="standardContextual"/>
    </w:rPr>
  </w:style>
  <w:style w:type="character" w:customStyle="1" w:styleId="Heading5Char">
    <w:name w:val="Heading 5 Char"/>
    <w:basedOn w:val="DefaultParagraphFont"/>
    <w:link w:val="Heading5"/>
    <w:uiPriority w:val="9"/>
    <w:rsid w:val="0068173B"/>
    <w:rPr>
      <w:rFonts w:asciiTheme="majorHAnsi" w:eastAsiaTheme="majorEastAsia" w:hAnsiTheme="maj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68173B"/>
    <w:rPr>
      <w:rFonts w:asciiTheme="majorHAnsi" w:eastAsiaTheme="majorEastAsia" w:hAnsiTheme="majorHAnsi" w:cstheme="majorBidi"/>
      <w:color w:val="1F3763" w:themeColor="accent1" w:themeShade="7F"/>
      <w:kern w:val="2"/>
      <w:sz w:val="24"/>
      <w:szCs w:val="24"/>
      <w14:ligatures w14:val="standardContextual"/>
    </w:rPr>
  </w:style>
  <w:style w:type="paragraph" w:styleId="BodyText">
    <w:name w:val="Body Text"/>
    <w:basedOn w:val="Normal"/>
    <w:link w:val="BodyTextChar"/>
    <w:uiPriority w:val="1"/>
    <w:qFormat/>
    <w:rsid w:val="00DA5C63"/>
    <w:pPr>
      <w:widowControl w:val="0"/>
      <w:autoSpaceDE w:val="0"/>
      <w:autoSpaceDN w:val="0"/>
      <w:spacing w:before="0" w:after="0" w:line="240" w:lineRule="auto"/>
    </w:pPr>
    <w:rPr>
      <w:rFonts w:ascii="Acumin Pro" w:eastAsia="Acumin Pro" w:hAnsi="Acumin Pro" w:cs="Acumin Pro"/>
      <w:kern w:val="0"/>
      <w:lang w:val="en-US"/>
      <w14:ligatures w14:val="none"/>
    </w:rPr>
  </w:style>
  <w:style w:type="character" w:customStyle="1" w:styleId="BodyTextChar">
    <w:name w:val="Body Text Char"/>
    <w:basedOn w:val="DefaultParagraphFont"/>
    <w:link w:val="BodyText"/>
    <w:uiPriority w:val="1"/>
    <w:rsid w:val="00DA5C63"/>
    <w:rPr>
      <w:rFonts w:ascii="Acumin Pro" w:eastAsia="Acumin Pro" w:hAnsi="Acumin Pro" w:cs="Acumin Pro"/>
      <w:sz w:val="24"/>
      <w:szCs w:val="24"/>
      <w:lang w:val="en-US"/>
    </w:rPr>
  </w:style>
  <w:style w:type="paragraph" w:customStyle="1" w:styleId="TableParagraph">
    <w:name w:val="Table Paragraph"/>
    <w:basedOn w:val="Normal"/>
    <w:uiPriority w:val="1"/>
    <w:qFormat/>
    <w:rsid w:val="00DA5C63"/>
    <w:pPr>
      <w:widowControl w:val="0"/>
      <w:autoSpaceDE w:val="0"/>
      <w:autoSpaceDN w:val="0"/>
      <w:spacing w:before="97" w:after="0" w:line="240" w:lineRule="auto"/>
      <w:jc w:val="right"/>
    </w:pPr>
    <w:rPr>
      <w:rFonts w:ascii="Acumin Pro" w:eastAsia="Acumin Pro" w:hAnsi="Acumin Pro" w:cs="Acumin Pro"/>
      <w:kern w:val="0"/>
      <w:sz w:val="22"/>
      <w:szCs w:val="22"/>
      <w:lang w:val="en-US"/>
      <w14:ligatures w14:val="none"/>
    </w:rPr>
  </w:style>
  <w:style w:type="character" w:customStyle="1" w:styleId="Heading7Char">
    <w:name w:val="Heading 7 Char"/>
    <w:basedOn w:val="DefaultParagraphFont"/>
    <w:link w:val="Heading7"/>
    <w:uiPriority w:val="9"/>
    <w:semiHidden/>
    <w:rsid w:val="00DA5C63"/>
    <w:rPr>
      <w:rFonts w:asciiTheme="majorHAnsi" w:eastAsiaTheme="majorEastAsia" w:hAnsiTheme="majorHAnsi" w:cstheme="majorBidi"/>
      <w:i/>
      <w:iCs/>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014">
      <w:bodyDiv w:val="1"/>
      <w:marLeft w:val="0"/>
      <w:marRight w:val="0"/>
      <w:marTop w:val="0"/>
      <w:marBottom w:val="0"/>
      <w:divBdr>
        <w:top w:val="none" w:sz="0" w:space="0" w:color="auto"/>
        <w:left w:val="none" w:sz="0" w:space="0" w:color="auto"/>
        <w:bottom w:val="none" w:sz="0" w:space="0" w:color="auto"/>
        <w:right w:val="none" w:sz="0" w:space="0" w:color="auto"/>
      </w:divBdr>
      <w:divsChild>
        <w:div w:id="231433941">
          <w:marLeft w:val="0"/>
          <w:marRight w:val="0"/>
          <w:marTop w:val="0"/>
          <w:marBottom w:val="0"/>
          <w:divBdr>
            <w:top w:val="none" w:sz="0" w:space="0" w:color="auto"/>
            <w:left w:val="none" w:sz="0" w:space="0" w:color="auto"/>
            <w:bottom w:val="none" w:sz="0" w:space="0" w:color="auto"/>
            <w:right w:val="none" w:sz="0" w:space="0" w:color="auto"/>
          </w:divBdr>
        </w:div>
        <w:div w:id="585843873">
          <w:marLeft w:val="0"/>
          <w:marRight w:val="0"/>
          <w:marTop w:val="0"/>
          <w:marBottom w:val="0"/>
          <w:divBdr>
            <w:top w:val="none" w:sz="0" w:space="0" w:color="auto"/>
            <w:left w:val="none" w:sz="0" w:space="0" w:color="auto"/>
            <w:bottom w:val="none" w:sz="0" w:space="0" w:color="auto"/>
            <w:right w:val="none" w:sz="0" w:space="0" w:color="auto"/>
          </w:divBdr>
        </w:div>
        <w:div w:id="629164013">
          <w:marLeft w:val="0"/>
          <w:marRight w:val="0"/>
          <w:marTop w:val="0"/>
          <w:marBottom w:val="0"/>
          <w:divBdr>
            <w:top w:val="none" w:sz="0" w:space="0" w:color="auto"/>
            <w:left w:val="none" w:sz="0" w:space="0" w:color="auto"/>
            <w:bottom w:val="none" w:sz="0" w:space="0" w:color="auto"/>
            <w:right w:val="none" w:sz="0" w:space="0" w:color="auto"/>
          </w:divBdr>
        </w:div>
        <w:div w:id="1723940529">
          <w:marLeft w:val="0"/>
          <w:marRight w:val="0"/>
          <w:marTop w:val="0"/>
          <w:marBottom w:val="0"/>
          <w:divBdr>
            <w:top w:val="none" w:sz="0" w:space="0" w:color="auto"/>
            <w:left w:val="none" w:sz="0" w:space="0" w:color="auto"/>
            <w:bottom w:val="none" w:sz="0" w:space="0" w:color="auto"/>
            <w:right w:val="none" w:sz="0" w:space="0" w:color="auto"/>
          </w:divBdr>
        </w:div>
        <w:div w:id="2139882343">
          <w:marLeft w:val="0"/>
          <w:marRight w:val="0"/>
          <w:marTop w:val="0"/>
          <w:marBottom w:val="0"/>
          <w:divBdr>
            <w:top w:val="none" w:sz="0" w:space="0" w:color="auto"/>
            <w:left w:val="none" w:sz="0" w:space="0" w:color="auto"/>
            <w:bottom w:val="none" w:sz="0" w:space="0" w:color="auto"/>
            <w:right w:val="none" w:sz="0" w:space="0" w:color="auto"/>
          </w:divBdr>
        </w:div>
      </w:divsChild>
    </w:div>
    <w:div w:id="387534780">
      <w:bodyDiv w:val="1"/>
      <w:marLeft w:val="0"/>
      <w:marRight w:val="0"/>
      <w:marTop w:val="0"/>
      <w:marBottom w:val="0"/>
      <w:divBdr>
        <w:top w:val="none" w:sz="0" w:space="0" w:color="auto"/>
        <w:left w:val="none" w:sz="0" w:space="0" w:color="auto"/>
        <w:bottom w:val="none" w:sz="0" w:space="0" w:color="auto"/>
        <w:right w:val="none" w:sz="0" w:space="0" w:color="auto"/>
      </w:divBdr>
    </w:div>
    <w:div w:id="453138540">
      <w:bodyDiv w:val="1"/>
      <w:marLeft w:val="0"/>
      <w:marRight w:val="0"/>
      <w:marTop w:val="0"/>
      <w:marBottom w:val="0"/>
      <w:divBdr>
        <w:top w:val="none" w:sz="0" w:space="0" w:color="auto"/>
        <w:left w:val="none" w:sz="0" w:space="0" w:color="auto"/>
        <w:bottom w:val="none" w:sz="0" w:space="0" w:color="auto"/>
        <w:right w:val="none" w:sz="0" w:space="0" w:color="auto"/>
      </w:divBdr>
      <w:divsChild>
        <w:div w:id="69159184">
          <w:marLeft w:val="0"/>
          <w:marRight w:val="0"/>
          <w:marTop w:val="0"/>
          <w:marBottom w:val="0"/>
          <w:divBdr>
            <w:top w:val="none" w:sz="0" w:space="0" w:color="auto"/>
            <w:left w:val="none" w:sz="0" w:space="0" w:color="auto"/>
            <w:bottom w:val="none" w:sz="0" w:space="0" w:color="auto"/>
            <w:right w:val="none" w:sz="0" w:space="0" w:color="auto"/>
          </w:divBdr>
        </w:div>
        <w:div w:id="292102207">
          <w:marLeft w:val="0"/>
          <w:marRight w:val="0"/>
          <w:marTop w:val="0"/>
          <w:marBottom w:val="0"/>
          <w:divBdr>
            <w:top w:val="none" w:sz="0" w:space="0" w:color="auto"/>
            <w:left w:val="none" w:sz="0" w:space="0" w:color="auto"/>
            <w:bottom w:val="none" w:sz="0" w:space="0" w:color="auto"/>
            <w:right w:val="none" w:sz="0" w:space="0" w:color="auto"/>
          </w:divBdr>
        </w:div>
        <w:div w:id="359471870">
          <w:marLeft w:val="0"/>
          <w:marRight w:val="0"/>
          <w:marTop w:val="0"/>
          <w:marBottom w:val="0"/>
          <w:divBdr>
            <w:top w:val="none" w:sz="0" w:space="0" w:color="auto"/>
            <w:left w:val="none" w:sz="0" w:space="0" w:color="auto"/>
            <w:bottom w:val="none" w:sz="0" w:space="0" w:color="auto"/>
            <w:right w:val="none" w:sz="0" w:space="0" w:color="auto"/>
          </w:divBdr>
        </w:div>
        <w:div w:id="985553630">
          <w:marLeft w:val="0"/>
          <w:marRight w:val="0"/>
          <w:marTop w:val="0"/>
          <w:marBottom w:val="0"/>
          <w:divBdr>
            <w:top w:val="none" w:sz="0" w:space="0" w:color="auto"/>
            <w:left w:val="none" w:sz="0" w:space="0" w:color="auto"/>
            <w:bottom w:val="none" w:sz="0" w:space="0" w:color="auto"/>
            <w:right w:val="none" w:sz="0" w:space="0" w:color="auto"/>
          </w:divBdr>
        </w:div>
        <w:div w:id="1816143776">
          <w:marLeft w:val="0"/>
          <w:marRight w:val="0"/>
          <w:marTop w:val="0"/>
          <w:marBottom w:val="0"/>
          <w:divBdr>
            <w:top w:val="none" w:sz="0" w:space="0" w:color="auto"/>
            <w:left w:val="none" w:sz="0" w:space="0" w:color="auto"/>
            <w:bottom w:val="none" w:sz="0" w:space="0" w:color="auto"/>
            <w:right w:val="none" w:sz="0" w:space="0" w:color="auto"/>
          </w:divBdr>
        </w:div>
        <w:div w:id="1853060070">
          <w:marLeft w:val="0"/>
          <w:marRight w:val="0"/>
          <w:marTop w:val="0"/>
          <w:marBottom w:val="0"/>
          <w:divBdr>
            <w:top w:val="none" w:sz="0" w:space="0" w:color="auto"/>
            <w:left w:val="none" w:sz="0" w:space="0" w:color="auto"/>
            <w:bottom w:val="none" w:sz="0" w:space="0" w:color="auto"/>
            <w:right w:val="none" w:sz="0" w:space="0" w:color="auto"/>
          </w:divBdr>
        </w:div>
      </w:divsChild>
    </w:div>
    <w:div w:id="976642936">
      <w:bodyDiv w:val="1"/>
      <w:marLeft w:val="0"/>
      <w:marRight w:val="0"/>
      <w:marTop w:val="0"/>
      <w:marBottom w:val="0"/>
      <w:divBdr>
        <w:top w:val="none" w:sz="0" w:space="0" w:color="auto"/>
        <w:left w:val="none" w:sz="0" w:space="0" w:color="auto"/>
        <w:bottom w:val="none" w:sz="0" w:space="0" w:color="auto"/>
        <w:right w:val="none" w:sz="0" w:space="0" w:color="auto"/>
      </w:divBdr>
      <w:divsChild>
        <w:div w:id="311059786">
          <w:marLeft w:val="0"/>
          <w:marRight w:val="0"/>
          <w:marTop w:val="0"/>
          <w:marBottom w:val="0"/>
          <w:divBdr>
            <w:top w:val="none" w:sz="0" w:space="0" w:color="auto"/>
            <w:left w:val="none" w:sz="0" w:space="0" w:color="auto"/>
            <w:bottom w:val="none" w:sz="0" w:space="0" w:color="auto"/>
            <w:right w:val="none" w:sz="0" w:space="0" w:color="auto"/>
          </w:divBdr>
        </w:div>
        <w:div w:id="324169051">
          <w:marLeft w:val="0"/>
          <w:marRight w:val="0"/>
          <w:marTop w:val="0"/>
          <w:marBottom w:val="0"/>
          <w:divBdr>
            <w:top w:val="none" w:sz="0" w:space="0" w:color="auto"/>
            <w:left w:val="none" w:sz="0" w:space="0" w:color="auto"/>
            <w:bottom w:val="none" w:sz="0" w:space="0" w:color="auto"/>
            <w:right w:val="none" w:sz="0" w:space="0" w:color="auto"/>
          </w:divBdr>
        </w:div>
        <w:div w:id="784618045">
          <w:marLeft w:val="0"/>
          <w:marRight w:val="0"/>
          <w:marTop w:val="0"/>
          <w:marBottom w:val="0"/>
          <w:divBdr>
            <w:top w:val="none" w:sz="0" w:space="0" w:color="auto"/>
            <w:left w:val="none" w:sz="0" w:space="0" w:color="auto"/>
            <w:bottom w:val="none" w:sz="0" w:space="0" w:color="auto"/>
            <w:right w:val="none" w:sz="0" w:space="0" w:color="auto"/>
          </w:divBdr>
        </w:div>
        <w:div w:id="1608846858">
          <w:marLeft w:val="0"/>
          <w:marRight w:val="0"/>
          <w:marTop w:val="0"/>
          <w:marBottom w:val="0"/>
          <w:divBdr>
            <w:top w:val="none" w:sz="0" w:space="0" w:color="auto"/>
            <w:left w:val="none" w:sz="0" w:space="0" w:color="auto"/>
            <w:bottom w:val="none" w:sz="0" w:space="0" w:color="auto"/>
            <w:right w:val="none" w:sz="0" w:space="0" w:color="auto"/>
          </w:divBdr>
        </w:div>
        <w:div w:id="1775053565">
          <w:marLeft w:val="0"/>
          <w:marRight w:val="0"/>
          <w:marTop w:val="0"/>
          <w:marBottom w:val="0"/>
          <w:divBdr>
            <w:top w:val="none" w:sz="0" w:space="0" w:color="auto"/>
            <w:left w:val="none" w:sz="0" w:space="0" w:color="auto"/>
            <w:bottom w:val="none" w:sz="0" w:space="0" w:color="auto"/>
            <w:right w:val="none" w:sz="0" w:space="0" w:color="auto"/>
          </w:divBdr>
        </w:div>
      </w:divsChild>
    </w:div>
    <w:div w:id="1000935551">
      <w:bodyDiv w:val="1"/>
      <w:marLeft w:val="0"/>
      <w:marRight w:val="0"/>
      <w:marTop w:val="0"/>
      <w:marBottom w:val="0"/>
      <w:divBdr>
        <w:top w:val="none" w:sz="0" w:space="0" w:color="auto"/>
        <w:left w:val="none" w:sz="0" w:space="0" w:color="auto"/>
        <w:bottom w:val="none" w:sz="0" w:space="0" w:color="auto"/>
        <w:right w:val="none" w:sz="0" w:space="0" w:color="auto"/>
      </w:divBdr>
    </w:div>
    <w:div w:id="1050612807">
      <w:bodyDiv w:val="1"/>
      <w:marLeft w:val="0"/>
      <w:marRight w:val="0"/>
      <w:marTop w:val="0"/>
      <w:marBottom w:val="0"/>
      <w:divBdr>
        <w:top w:val="none" w:sz="0" w:space="0" w:color="auto"/>
        <w:left w:val="none" w:sz="0" w:space="0" w:color="auto"/>
        <w:bottom w:val="none" w:sz="0" w:space="0" w:color="auto"/>
        <w:right w:val="none" w:sz="0" w:space="0" w:color="auto"/>
      </w:divBdr>
    </w:div>
    <w:div w:id="1357197290">
      <w:bodyDiv w:val="1"/>
      <w:marLeft w:val="0"/>
      <w:marRight w:val="0"/>
      <w:marTop w:val="0"/>
      <w:marBottom w:val="0"/>
      <w:divBdr>
        <w:top w:val="none" w:sz="0" w:space="0" w:color="auto"/>
        <w:left w:val="none" w:sz="0" w:space="0" w:color="auto"/>
        <w:bottom w:val="none" w:sz="0" w:space="0" w:color="auto"/>
        <w:right w:val="none" w:sz="0" w:space="0" w:color="auto"/>
      </w:divBdr>
      <w:divsChild>
        <w:div w:id="133259046">
          <w:marLeft w:val="0"/>
          <w:marRight w:val="0"/>
          <w:marTop w:val="0"/>
          <w:marBottom w:val="0"/>
          <w:divBdr>
            <w:top w:val="none" w:sz="0" w:space="0" w:color="auto"/>
            <w:left w:val="none" w:sz="0" w:space="0" w:color="auto"/>
            <w:bottom w:val="none" w:sz="0" w:space="0" w:color="auto"/>
            <w:right w:val="none" w:sz="0" w:space="0" w:color="auto"/>
          </w:divBdr>
        </w:div>
        <w:div w:id="438644902">
          <w:marLeft w:val="0"/>
          <w:marRight w:val="0"/>
          <w:marTop w:val="0"/>
          <w:marBottom w:val="0"/>
          <w:divBdr>
            <w:top w:val="none" w:sz="0" w:space="0" w:color="auto"/>
            <w:left w:val="none" w:sz="0" w:space="0" w:color="auto"/>
            <w:bottom w:val="none" w:sz="0" w:space="0" w:color="auto"/>
            <w:right w:val="none" w:sz="0" w:space="0" w:color="auto"/>
          </w:divBdr>
        </w:div>
        <w:div w:id="158441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access.com.au/wp-content/uploads/2026/04/Arts-Access-Society-2025-Financial-Statemen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file:///C:\Users\sknox\AppData\Local\Microsoft\Windows\INetCache\Content.Outlook\I0388NGC\artsaccess.com.au" TargetMode="External"/><Relationship Id="rId2" Type="http://schemas.openxmlformats.org/officeDocument/2006/relationships/hyperlink" Target="mailto:info@artsaccess.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4AA5E778C8241BA18BFAF54DA6338" ma:contentTypeVersion="13" ma:contentTypeDescription="Create a new document." ma:contentTypeScope="" ma:versionID="78f65bc9bd7e1e37ac23ebd1766c03f4">
  <xsd:schema xmlns:xsd="http://www.w3.org/2001/XMLSchema" xmlns:xs="http://www.w3.org/2001/XMLSchema" xmlns:p="http://schemas.microsoft.com/office/2006/metadata/properties" xmlns:ns3="fc653608-8ccf-4924-8158-5cddc6722fe7" xmlns:ns4="30eed31f-e378-494f-a4db-6e256832e856" targetNamespace="http://schemas.microsoft.com/office/2006/metadata/properties" ma:root="true" ma:fieldsID="83d07840e7da8f2402b896a587f30398" ns3:_="" ns4:_="">
    <xsd:import namespace="fc653608-8ccf-4924-8158-5cddc6722fe7"/>
    <xsd:import namespace="30eed31f-e378-494f-a4db-6e256832e8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3608-8ccf-4924-8158-5cddc672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ed31f-e378-494f-a4db-6e256832e8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5830C-A1EB-449E-856F-270697663A5C}">
  <ds:schemaRefs>
    <ds:schemaRef ds:uri="http://schemas.microsoft.com/sharepoint/v3/contenttype/forms"/>
  </ds:schemaRefs>
</ds:datastoreItem>
</file>

<file path=customXml/itemProps2.xml><?xml version="1.0" encoding="utf-8"?>
<ds:datastoreItem xmlns:ds="http://schemas.openxmlformats.org/officeDocument/2006/customXml" ds:itemID="{05AF1B00-B633-4460-839C-89B8AD7B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3608-8ccf-4924-8158-5cddc6722fe7"/>
    <ds:schemaRef ds:uri="30eed31f-e378-494f-a4db-6e256832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AC7EA-69CF-4A0E-99B2-344F58F180CD}">
  <ds:schemaRefs>
    <ds:schemaRef ds:uri="http://schemas.openxmlformats.org/officeDocument/2006/bibliography"/>
  </ds:schemaRefs>
</ds:datastoreItem>
</file>

<file path=customXml/itemProps4.xml><?xml version="1.0" encoding="utf-8"?>
<ds:datastoreItem xmlns:ds="http://schemas.openxmlformats.org/officeDocument/2006/customXml" ds:itemID="{67518C04-F850-46C7-B420-58E61EE1AC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26</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Arts Access Victoria Annual Report 2024</vt:lpstr>
    </vt:vector>
  </TitlesOfParts>
  <Manager/>
  <Company/>
  <LinksUpToDate>false</LinksUpToDate>
  <CharactersWithSpaces>42163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Access Victoria Annual Report 2025</dc:title>
  <dc:subject/>
  <dc:creator>Arts Access Victoria</dc:creator>
  <cp:keywords/>
  <dc:description/>
  <cp:lastModifiedBy>Erin Dick</cp:lastModifiedBy>
  <cp:revision>29</cp:revision>
  <dcterms:created xsi:type="dcterms:W3CDTF">2026-04-23T03:31:00Z</dcterms:created>
  <dcterms:modified xsi:type="dcterms:W3CDTF">2026-04-25T07:23:00Z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0x0101003FB4AA5E778C8241BA18BFAF54DA6338</vt:lpwstr>
  </property>
</Properties>
</file>